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Reinsurance Pricing Review for Gonzalez, Campbell and Kelly</w:t>
      </w:r>
    </w:p>
    <w:p>
      <w:r>
        <w:t>Prepared by Karen Harris, Actuarial Associate, for the leadership of Gonzalez, Campbell and Kelly. This report covers the reinsurance pricing review at its midpoint. The review is on track and within scope. The data intake is closed, the experience analysis is under way, and the pricing work is the stretch that remains. I have written it to separate plainly what is settled from what still calls for judgment, since those are the two things worth your attention at the halfway mark.</w:t>
      </w:r>
    </w:p>
    <w:p>
      <w:pPr>
        <w:pStyle w:val="Heading2"/>
      </w:pPr>
      <w:r>
        <w:t>Where the review stands</w:t>
      </w:r>
    </w:p>
    <w:p>
      <w:r>
        <w:t>The measurement is largely built and the judgment has not yet been applied, which is the right order for the work. The cession, premium, and loss files reconcile to the schedule of treaties, and the data your team at Gonzalez, Campbell and Kelly sent has held up to reconciliation with only one gap left to close. We have loss ratios by treaty year on the paid data, and we are treating them as directional until the case reserves arrive, because a paid-only ratio understates the recent years and is not the experience. The work remains within the fixed fee of $42,000 agreed for the review, and nothing this period has changed that.</w:t>
      </w:r>
    </w:p>
    <w:p>
      <w:r>
        <w:t>For context, the exhibits will be the schedule of treaties, the experience by treaty year, and the pricing indications that follow from them. The first two are drafted, and the third is the work of the second half. The report that interprets the exhibits comes once the indications are set.</w:t>
      </w:r>
    </w:p>
    <w:p>
      <w:pPr>
        <w:pStyle w:val="Heading2"/>
      </w:pPr>
      <w:r>
        <w:t>Finished this period</w:t>
      </w:r>
    </w:p>
    <w:p>
      <w:r>
        <w:t>The period went to closing the inputs and standing up the experience analysis. Michelle Banks reconciled the cession, premium, and loss files against the treaty schedule and documented the data we are relying on, so every figure in the eventual pricing can be traced to a source. She also confirmed the two treaty inception dates that had been open and built the first cut of the loss ratios by treaty year. I reviewed the reconciliation and the reliance memo she prepared, and both are in a form we can stand behind. On our side the schedule of treaties is now settled, and the one remaining data item, the case reserves on the loss file, is with your reinsurance accounting group to supply in the next extract.</w:t>
      </w:r>
    </w:p>
    <w:p>
      <w:pPr>
        <w:pStyle w:val="Heading2"/>
      </w:pPr>
      <w:r>
        <w:t>How the pricing will be built</w:t>
      </w:r>
    </w:p>
    <w:p>
      <w:r>
        <w:t>One point on how we will develop the numbers. A pricing indication mixes three things that are easy to run together: what the experience measures, what we assume about trend and loss development, and what we conclude as the indicated rate. We keep them apart on purpose. The exhibits will show the measured experience. The assumptions memo will state the trend and development we have chosen, and why. The indication will draw the conclusion, and only there. Where the experience for a treaty year is too thin to stand on its own, we will blend it with an industry benchmark and show the weight we gave each, so the credibility judgment is visible instead of buried in a single number.</w:t>
      </w:r>
    </w:p>
    <w:p>
      <w:pPr>
        <w:pStyle w:val="Heading2"/>
      </w:pPr>
      <w:r>
        <w:t>The work ahead</w:t>
      </w:r>
    </w:p>
    <w:p>
      <w:r>
        <w:t>The remaining work is the pricing and its reporting, in that order, and none of it depends on anything we do not already have apart from the case reserves. We will recut the loss ratios on the incurred data once those arrive, develop the trend and loss-development assumptions, and set the credibility weights for the thinner treaty years. From there we will build the workbook of exhibits and the report that reads them, and we will bring you preliminary indications for review before anything is treated as final. A preliminary number is not an answer, and we treat it that way until it has cleared our own checking.</w:t>
      </w:r>
    </w:p>
    <w:p>
      <w:pPr>
        <w:pStyle w:val="Heading2"/>
      </w:pPr>
      <w:r>
        <w:t>What could move the answer</w:t>
      </w:r>
    </w:p>
    <w:p>
      <w:r>
        <w:t>The data risk is mostly behind us now that the files reconcile, and the risks that remain are matters of judgment. Three are worth naming. The first is trend: the indication is sensitive to the trend assumption, which the data do not hand us, and we will show the result under more than one so that sensitivity is plain. The second is credibility on the earliest treaty years, where the experience is thin and the benchmark carries more of the weight; that is a considered choice, and the report will say so. The third is the case reserves, the one open data item, which changes the recent-year ratios and which we do not want to price around.</w:t>
      </w:r>
    </w:p>
    <w:p>
      <w:r>
        <w:t>None of these threatens the schedule, and the scope has held steady from the start. The best time to weigh an assumption is before the indication rests on it, so if the trend or credibility choices give you pause, tell us early. I will follow up with your accounting group on the case reserves and will send preliminary indications as soon as they have cleared our own review.</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Reinsurance Pricing Review for Gonzalez, Campbell and Kelly</dc:title>
  <dc:subject/>
  <dc:creator>Karen Harris</dc:creator>
  <cp:keywords/>
  <dc:description>generated by python-docx</dc:description>
  <cp:lastModifiedBy>Karen Harris</cp:lastModifiedBy>
  <cp:revision>1</cp:revision>
  <dcterms:created xsi:type="dcterms:W3CDTF">2024-09-25T09:00:00Z</dcterms:created>
  <dcterms:modified xsi:type="dcterms:W3CDTF">2024-09-25T09:00:00Z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