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Reinsurance Pricing Review for Gonzalez, Campbell and Kelly</w:t>
      </w:r>
    </w:p>
    <w:p>
      <w:r>
        <w:t>This session reviewed the state of the client data, the experience analysis now under way, and the approach we will use to develop the pricing indications. James Garcia joined from the client side for the first part of the meeting. These minutes record what was settled and what stays open at this point in the review.</w:t>
      </w:r>
    </w:p>
    <w:p>
      <w:pPr>
        <w:pStyle w:val="Heading2"/>
      </w:pPr>
      <w:r>
        <w:t>Attendees</w:t>
      </w:r>
    </w:p>
    <w:p>
      <w:pPr>
        <w:pStyle w:val="ListBullet"/>
      </w:pPr>
      <w:r>
        <w:t>Karen Harris, Actuarial Associate</w:t>
      </w:r>
    </w:p>
    <w:p>
      <w:pPr>
        <w:pStyle w:val="ListBullet"/>
      </w:pPr>
      <w:r>
        <w:t>Michelle Banks, Actuarial Associate</w:t>
      </w:r>
    </w:p>
    <w:p>
      <w:pPr>
        <w:pStyle w:val="ListBullet"/>
      </w:pPr>
      <w:r>
        <w:t>James Garcia, Chief Financial Officer, Gonzalez, Campbell and Kelly</w:t>
      </w:r>
    </w:p>
    <w:p>
      <w:pPr>
        <w:pStyle w:val="Heading2"/>
      </w:pPr>
      <w:r>
        <w:t>Discussion</w:t>
      </w:r>
    </w:p>
    <w:p>
      <w:r>
        <w:t>Karen Harris reported that the data intake is effectively closed. The cession, premium, and loss files now reconcile to the treaty schedule, and the two open treaty inception dates have been confirmed by the client. One gap remains: the loss file gives paid amounts but not case reserves, and James Garcia agreed to have the reinsurance accounting group add them to the next extract.</w:t>
      </w:r>
    </w:p>
    <w:p>
      <w:r>
        <w:t>Two smaller items stayed open. The premium and loss records still use different treaty codes, and James Garcia will confirm the mapping so the two sets can be tied together without guessing. The cession schedule is also thin for two treaties in the earliest years, and we flagged that those years may fall below our credibility standard and lean more on the benchmark.</w:t>
      </w:r>
    </w:p>
    <w:p>
      <w:r>
        <w:t>Michelle Banks summarized the experience analysis. The loss ratios by treaty year are calculated on the paid data, and they will be recut once the case reserves arrive. We agreed to hold the incurred figures internally until that step is done, since a paid-only ratio understates the recent years and should not be read as the experience.</w:t>
      </w:r>
    </w:p>
    <w:p>
      <w:r>
        <w:t>The group then discussed the trend and loss-development assumptions that feed the pricing. We agreed to develop the indications on the client's own experience where it is credible and to blend in an industry benchmark for the thinner treaty years, so neither source carries the weight alone. Karen Harris will document the credibility standard so the weighting is on the record before any indication is shown.</w:t>
      </w:r>
    </w:p>
    <w:p>
      <w:r>
        <w:t>We noted the line the firm keeps between what the data measure, what we assume, and what we conclude. The exhibits will show the measured experience, the assumptions memo will state the trend and development we have chosen, and the pricing indication will draw only from those two. James Garcia asked that the indications arrive with that separation visible, and we agreed.</w:t>
      </w:r>
    </w:p>
    <w:p>
      <w:r>
        <w:t>No change to scope or schedule came out of the session. The review is at its midpoint, the measurement work is on track, and the judgment now moves to the pricing assumptions, which is the right place for it at this stage.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Add case reserves to the next loss extract</w:t>
            </w:r>
          </w:p>
        </w:tc>
        <w:tc>
          <w:tcPr>
            <w:tcW w:type="dxa" w:w="2880"/>
          </w:tcPr>
          <w:p>
            <w:r>
              <w:t>James Garcia</w:t>
            </w:r>
          </w:p>
        </w:tc>
        <w:tc>
          <w:tcPr>
            <w:tcW w:type="dxa" w:w="2880"/>
          </w:tcPr>
          <w:p>
            <w:r>
              <w:t>This period</w:t>
            </w:r>
          </w:p>
        </w:tc>
      </w:tr>
      <w:tr>
        <w:tc>
          <w:tcPr>
            <w:tcW w:type="dxa" w:w="2880"/>
          </w:tcPr>
          <w:p>
            <w:r>
              <w:t>Confirm the treaty-code mapping between the premium and loss files</w:t>
            </w:r>
          </w:p>
        </w:tc>
        <w:tc>
          <w:tcPr>
            <w:tcW w:type="dxa" w:w="2880"/>
          </w:tcPr>
          <w:p>
            <w:r>
              <w:t>James Garcia</w:t>
            </w:r>
          </w:p>
        </w:tc>
        <w:tc>
          <w:tcPr>
            <w:tcW w:type="dxa" w:w="2880"/>
          </w:tcPr>
          <w:p>
            <w:r>
              <w:t>This period</w:t>
            </w:r>
          </w:p>
        </w:tc>
      </w:tr>
      <w:tr>
        <w:tc>
          <w:tcPr>
            <w:tcW w:type="dxa" w:w="2880"/>
          </w:tcPr>
          <w:p>
            <w:r>
              <w:t>Recut the loss ratios once the case reserves are received</w:t>
            </w:r>
          </w:p>
        </w:tc>
        <w:tc>
          <w:tcPr>
            <w:tcW w:type="dxa" w:w="2880"/>
          </w:tcPr>
          <w:p>
            <w:r>
              <w:t>Michelle Banks</w:t>
            </w:r>
          </w:p>
        </w:tc>
        <w:tc>
          <w:tcPr>
            <w:tcW w:type="dxa" w:w="2880"/>
          </w:tcPr>
          <w:p>
            <w:r>
              <w:t>Next session</w:t>
            </w:r>
          </w:p>
        </w:tc>
      </w:tr>
      <w:tr>
        <w:tc>
          <w:tcPr>
            <w:tcW w:type="dxa" w:w="2880"/>
          </w:tcPr>
          <w:p>
            <w:r>
              <w:t>Document the credibility standard and the blending weights</w:t>
            </w:r>
          </w:p>
        </w:tc>
        <w:tc>
          <w:tcPr>
            <w:tcW w:type="dxa" w:w="2880"/>
          </w:tcPr>
          <w:p>
            <w:r>
              <w:t>Karen Harris</w:t>
            </w:r>
          </w:p>
        </w:tc>
        <w:tc>
          <w:tcPr>
            <w:tcW w:type="dxa" w:w="2880"/>
          </w:tcPr>
          <w:p>
            <w:r>
              <w:t>Next session</w:t>
            </w:r>
          </w:p>
        </w:tc>
      </w:tr>
    </w:tbl>
    <w:p>
      <w:r>
        <w:t>Minutes prepared by Michelle Banks.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Reinsurance Pricing Review for Gonzalez, Campbell and Kelly</dc:title>
  <dc:subject/>
  <dc:creator>Michelle Banks</dc:creator>
  <cp:keywords/>
  <dc:description>generated by python-docx</dc:description>
  <cp:lastModifiedBy>Michelle Banks</cp:lastModifiedBy>
  <cp:revision>1</cp:revision>
  <dcterms:created xsi:type="dcterms:W3CDTF">2024-09-13T09:00:00Z</dcterms:created>
  <dcterms:modified xsi:type="dcterms:W3CDTF">2024-09-13T09:00:00Z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