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David Sherman, Jeffrey Ochoa, Carol Cooper</w:t>
        <w:br/>
        <w:t>From: Jennifer Vasquez</w:t>
        <w:br/>
        <w:t>Re: Howard and Sons pension valuation</w:t>
      </w:r>
    </w:p>
    <w:p>
      <w:pPr>
        <w:pStyle w:val="Heading2"/>
      </w:pPr>
      <w:r>
        <w:t>Objective</w:t>
      </w:r>
    </w:p>
    <w:p>
      <w:r>
        <w:t>This memo sets the plan for the Howard and Sons pension valuation. The objective is a full actuarial valuation of the plan and a report the client's board can act on. The deliverables are the report and a workbook of exhibits that supports it.</w:t>
      </w:r>
    </w:p>
    <w:p>
      <w:r>
        <w:t>The valuation measures the plan's liabilities and its funded position as of the valuation date, on the funding basis and the accounting basis. It is performed under the applicable Actuarial Standards of Practice. We keep measurement, assumption, and conclusion separate in the report, as we always do.</w:t>
      </w:r>
    </w:p>
    <w:p>
      <w:r>
        <w:t>Our point of contact is Elizabeth Horne, Director of Operations. Data requests and scheduling go through her office. Client-facing questions come to me before they go to her.</w:t>
      </w:r>
    </w:p>
    <w:p>
      <w:pPr>
        <w:pStyle w:val="Heading2"/>
      </w:pPr>
      <w:r>
        <w:t>Assignments</w:t>
      </w:r>
    </w:p>
    <w:p>
      <w:pPr>
        <w:pStyle w:val="ListBullet"/>
      </w:pPr>
      <w:r>
        <w:t>Data. David Sherman reconstructs the participant census and the asset records, reconciles both, and documents our reliance. He ties the headcount and the assets to the prior year and to the client's own summaries, and flags any gap before anything is modeled.</w:t>
      </w:r>
    </w:p>
    <w:p>
      <w:pPr>
        <w:pStyle w:val="ListBullet"/>
      </w:pPr>
      <w:r>
        <w:t>Modeling. Jeffrey Ochoa builds the valuation model and prepares the assumption inputs for review: the interest rate, mortality, and the retirement and termination rates. He sets no assumption as final until it has been reviewed, and he traces any surprising result back to the input that produced it.</w:t>
      </w:r>
    </w:p>
    <w:p>
      <w:pPr>
        <w:pStyle w:val="ListBullet"/>
      </w:pPr>
      <w:r>
        <w:t>Client relationship. I hold the scope calls and the contact with Elizabeth Horne. I own the questions the board wants answered and the harder job of saying which of them the data can answer and which it cannot.</w:t>
      </w:r>
    </w:p>
    <w:p>
      <w:pPr>
        <w:pStyle w:val="ListBullet"/>
      </w:pPr>
      <w:r>
        <w:t>Scheduling. Carol Cooper tracks the data requests and the delivery date against the board's calendar, and keeps the open items visible so nothing waits on a request no one has sent.</w:t>
      </w:r>
    </w:p>
    <w:p>
      <w:pPr>
        <w:pStyle w:val="Heading2"/>
      </w:pPr>
      <w:r>
        <w:t>What the Work Depends On</w:t>
      </w:r>
    </w:p>
    <w:p>
      <w:r>
        <w:t>Two things gate the rest. The first is a clean confirmation of the plan provisions we are to value, against the current plan document. The second is complete census and asset data. Until both are in hand, we set assumptions provisionally and value nothing.</w:t>
      </w:r>
    </w:p>
    <w:p>
      <w:r>
        <w:t>Data quality is the usual risk on a first valuation for a client. Expect the census to need a pass for status codes and for participants whose records do not agree with the summary. We raise those with Elizabeth Horne early rather than carry them into the model.</w:t>
      </w:r>
    </w:p>
    <w:p>
      <w:pPr>
        <w:pStyle w:val="Heading2"/>
      </w:pPr>
      <w:r>
        <w:t>The First Two Weeks</w:t>
      </w:r>
    </w:p>
    <w:p>
      <w:r>
        <w:t>Work begins on April 17, 2016. I will send the data request to Elizabeth Horne this week. It will list the census fields and the asset statement we need, with the format we want them in.</w:t>
      </w:r>
    </w:p>
    <w:p>
      <w:r>
        <w:t>David Sherman loads the census as soon as it arrives and reports any gap the same day. Jeffrey Ochoa drafts the assumption memo for my review before any assumption is treated as settled. We do not value the plan until the plan document and the data are both confirmed.</w:t>
      </w:r>
    </w:p>
    <w:p>
      <w:r>
        <w:t>Carol Cooper will circulate the schedule once the data request is out, mapped to the board's meeting dates so the draft and the final report land where the board can use them.</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Pension Valuation for Howard and Sons</dc:title>
  <dc:subject/>
  <dc:creator>Jennifer Vasquez</dc:creator>
  <cp:keywords/>
  <dc:description>generated by python-docx</dc:description>
  <cp:lastModifiedBy>Jennifer Vasquez</cp:lastModifiedBy>
  <cp:revision>1</cp:revision>
  <dcterms:created xsi:type="dcterms:W3CDTF">2016-04-20T09:00:00Z</dcterms:created>
  <dcterms:modified xsi:type="dcterms:W3CDTF">2016-04-20T09:00:00Z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