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Pension Valuation for Howard and Sons</w:t>
      </w:r>
    </w:p>
    <w:p>
      <w:r>
        <w:t>Prepared by Jennifer Vasquez, Consulting Actuary, for the leadership of Howard and Sons. This report covers the engagement at its midpoint. The work is where I expected it to be at this stage. The inputs are settled, the model is standing, and the effort that remains is the valuation itself and the report that interprets it. I have written this to separate plainly what is finished from what still calls for a decision, since at the midpoint those are the two things worth your attention.</w:t>
      </w:r>
    </w:p>
    <w:p>
      <w:pPr>
        <w:pStyle w:val="Heading2"/>
      </w:pPr>
      <w:r>
        <w:t>Summary</w:t>
      </w:r>
    </w:p>
    <w:p>
      <w:r>
        <w:t>The engagement is on schedule and within its agreed scope. The participant data is reconciled and closed. The plan provisions are confirmed but for one narrow item. The assumptions are in final review. We have begun the valuation runs for our own checking, and I want to be plain about what that means. No results have left the office, and none will until we have tested them against the prior valuation and are satisfied they hold. A preliminary number is not an answer, and we treat it that way internally. Nothing this period has changed the shape of the engagement or what we expect to deliver at the end of it.</w:t>
      </w:r>
    </w:p>
    <w:p>
      <w:pPr>
        <w:pStyle w:val="Heading2"/>
      </w:pPr>
      <w:r>
        <w:t>How we read the results</w:t>
      </w:r>
    </w:p>
    <w:p>
      <w:r>
        <w:t>One point about how we will present the numbers. An actuarial valuation mixes three things that are easy to run together: what the data measure, what we assume about the future, and what we conclude from the two. We keep them apart on purpose. The exhibits will show the measured position. The assumption memo will state what we have assumed and why. The opinion will draw the conclusion, and only there. If a number in the eventual report looks larger or smaller than you expect, the explanation will almost always sit in the assumptions, and we will have documented it before you ask.</w:t>
      </w:r>
    </w:p>
    <w:p>
      <w:pPr>
        <w:pStyle w:val="Heading2"/>
      </w:pPr>
      <w:r>
        <w:t>Completed this period</w:t>
      </w:r>
    </w:p>
    <w:p>
      <w:r>
        <w:t>The bulk of the period went to closing out the inputs and standing up the model. Two people carried most of that work.</w:t>
      </w:r>
    </w:p>
    <w:p>
      <w:pPr>
        <w:pStyle w:val="ListBullet"/>
      </w:pPr>
      <w:r>
        <w:t>David Sherman completed the census reconciliation and the tie-out to the prior file. He has documented the data we are relying on, so that every figure in the valuation can be traced back to a source.</w:t>
      </w:r>
    </w:p>
    <w:p>
      <w:pPr>
        <w:pStyle w:val="ListBullet"/>
      </w:pPr>
      <w:r>
        <w:t>Jeffrey Ochoa built the valuation model and checked it, and he has tied each preliminary result back to the assumption that drives it, which is what lets us explain a number, not merely report it.</w:t>
      </w:r>
    </w:p>
    <w:p>
      <w:pPr>
        <w:pStyle w:val="ListBullet"/>
      </w:pPr>
      <w:r>
        <w:t>We confirmed the plan provisions with your staff, including the disability offset, which follows the plan document and not the summary description.</w:t>
      </w:r>
    </w:p>
    <w:p>
      <w:pPr>
        <w:pStyle w:val="ListBullet"/>
      </w:pPr>
      <w:r>
        <w:t>We settled the assumption set in draft. The one assumption we have deliberately left open is the discount rate, which we want to decide with you rather than hand you as a finished choice.</w:t>
      </w:r>
    </w:p>
    <w:p>
      <w:r>
        <w:t>With the inputs fixed, the judgment now moves to the assumptions, which is the right place for it at this point in the work.</w:t>
      </w:r>
    </w:p>
    <w:p>
      <w:pPr>
        <w:pStyle w:val="Heading2"/>
      </w:pPr>
      <w:r>
        <w:t>The next stage</w:t>
      </w:r>
    </w:p>
    <w:p>
      <w:r>
        <w:t>The remaining work is the valuation and its reporting, in that order. None of it depends on anything we do not already have, apart from the two small items noted below.</w:t>
      </w:r>
    </w:p>
    <w:p>
      <w:pPr>
        <w:pStyle w:val="ListBullet"/>
      </w:pPr>
      <w:r>
        <w:t>Complete the full valuation run and reconcile it to last year, so any movement in the funded position is explained, not merely asserted.</w:t>
      </w:r>
    </w:p>
    <w:p>
      <w:pPr>
        <w:pStyle w:val="ListBullet"/>
      </w:pPr>
      <w:r>
        <w:t>Finalize the discount-rate basis, the one assumption that materially moves the result.</w:t>
      </w:r>
    </w:p>
    <w:p>
      <w:pPr>
        <w:pStyle w:val="ListBullet"/>
      </w:pPr>
      <w:r>
        <w:t>Prepare the workbook of exhibits and the report that reads them for the board.</w:t>
      </w:r>
    </w:p>
    <w:p>
      <w:pPr>
        <w:pStyle w:val="ListBullet"/>
      </w:pPr>
      <w:r>
        <w:t>Bring preliminary results to you for review before anything is treated as final.</w:t>
      </w:r>
    </w:p>
    <w:p>
      <w:pPr>
        <w:pStyle w:val="Heading2"/>
      </w:pPr>
      <w:r>
        <w:t>Risks</w:t>
      </w:r>
    </w:p>
    <w:p>
      <w:r>
        <w:t>The data risk is largely behind us now that the census is closed. The risks that remain are matters of judgment, not measurement, and there are three worth naming. The first is the discount rate. It is an assumption, not a fact the data hands us, and it moves the funded ratio enough that we will show you the result under more than one rate instead of choosing quietly on your behalf. The second is mortality, where we are holding the prior table until the next experience review gives us a reason to change it; that is a considered choice, and the report will say so plainly. The third is the single open plan provision, which your team is confirming and which we do not expect to change the picture.</w:t>
      </w:r>
    </w:p>
    <w:p>
      <w:r>
        <w:t>None of these threatens the schedule, and the scope has held steady from the start. The best time to raise a question about an assumption is before the results are built on it, so if any of the choices above give you pause, I would sooner hear it now. I will follow up with your team on the two open items and will send preliminary results as soon as they have cleared our own review.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Pension Valuation for Howard and Sons</dc:title>
  <dc:subject/>
  <dc:creator>Jennifer Vasquez</dc:creator>
  <cp:keywords/>
  <dc:description>generated by python-docx</dc:description>
  <cp:lastModifiedBy>Jennifer Vasquez</cp:lastModifiedBy>
  <cp:revision>1</cp:revision>
  <dcterms:created xsi:type="dcterms:W3CDTF">2016-06-24T09:00:00Z</dcterms:created>
  <dcterms:modified xsi:type="dcterms:W3CDTF">2016-06-24T09:00:00Z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