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Pension Valuation for Howard and Sons</w:t>
      </w:r>
    </w:p>
    <w:p>
      <w:r>
        <w:t>The data is settled, and the valuation has moved from gathering inputs to setting assumptions. That was the headline of the session. Most of the discussion was about the choices in front of us rather than the numbers themselves, and we wanted the record to show what we have now fixed and what is still a matter of judgment, because the two are easy to blur once the model starts producing results.</w:t>
      </w:r>
    </w:p>
    <w:p>
      <w:pPr>
        <w:pStyle w:val="Heading2"/>
      </w:pPr>
      <w:r>
        <w:t>Attendees</w:t>
      </w:r>
    </w:p>
    <w:p>
      <w:pPr>
        <w:pStyle w:val="ListBullet"/>
      </w:pPr>
      <w:r>
        <w:t>Jennifer Vasquez, Consulting Actuary</w:t>
      </w:r>
    </w:p>
    <w:p>
      <w:pPr>
        <w:pStyle w:val="ListBullet"/>
      </w:pPr>
      <w:r>
        <w:t>David Sherman, Senior Analyst</w:t>
      </w:r>
    </w:p>
    <w:p>
      <w:pPr>
        <w:pStyle w:val="ListBullet"/>
      </w:pPr>
      <w:r>
        <w:t>Jeffrey Ochoa, Actuarial Analyst</w:t>
      </w:r>
    </w:p>
    <w:p>
      <w:pPr>
        <w:pStyle w:val="ListBullet"/>
      </w:pPr>
      <w:r>
        <w:t>Elizabeth Horne, Director of Operations, Howard and Sons</w:t>
      </w:r>
    </w:p>
    <w:p>
      <w:pPr>
        <w:pStyle w:val="Heading2"/>
      </w:pPr>
      <w:r>
        <w:t>Discussion</w:t>
      </w:r>
    </w:p>
    <w:p>
      <w:r>
        <w:t>David Sherman walked us through the census reconciliation, which is now complete. The head counts and the covered payroll tie to the prior file, and the handful of records that were missing dates of birth were filled in from information Elizabeth Horne's team sent over. We agreed to treat the reconciled file as the data of record, and David will document our reliance on it in the usual way, so that every number in the valuation can be traced back to a source.</w:t>
      </w:r>
    </w:p>
    <w:p>
      <w:r>
        <w:t>We also closed the plan-provision question that had been open since the data review. The disability offset follows the plan document, not the summary, and Elizabeth Horne confirmed that reading against her own copy. One smaller item remains, on the treatment of a closed early-retirement window, and that sits with the client to confirm before the results are final.</w:t>
      </w:r>
    </w:p>
    <w:p>
      <w:r>
        <w:t>Most of the meeting was about assumptions. Jeffrey Ochoa laid out the set carried from the last study and flagged the discount rate as the choice that matters most. We talked through holding last study's rate against moving to a current-market basis. Instead of settling it in the room, we agreed to present the result under both, so the board can see how much of the funded position rests on that single assumption. Mortality stays on the prior table until the next experience review gives us a reason to change it. Jeffrey noted that he had run a preliminary set of numbers on the carried-over basis, but we were clear that those are directional only and do not leave the office.</w:t>
      </w:r>
    </w:p>
    <w:p>
      <w:r>
        <w:t>Running through all of it was the care we try to keep in the writing. What the data show, what we have assumed, and what we will ultimately conclude are three different things, and none of us wanted a preliminary figure read as an opinion. The group was comfortable that the engagement is on track and that the items still open are narrow ones.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Close the asset reconciliation against the year-end statement</w:t>
            </w:r>
          </w:p>
        </w:tc>
        <w:tc>
          <w:tcPr>
            <w:tcW w:type="dxa" w:w="2880"/>
          </w:tcPr>
          <w:p>
            <w:r>
              <w:t>David Sherman</w:t>
            </w:r>
          </w:p>
        </w:tc>
        <w:tc>
          <w:tcPr>
            <w:tcW w:type="dxa" w:w="2880"/>
          </w:tcPr>
          <w:p>
            <w:r>
              <w:t>This period</w:t>
            </w:r>
          </w:p>
        </w:tc>
      </w:tr>
      <w:tr>
        <w:tc>
          <w:tcPr>
            <w:tcW w:type="dxa" w:w="2880"/>
          </w:tcPr>
          <w:p>
            <w:r>
              <w:t>Finalize the assumption set and document the discount-rate basis</w:t>
            </w:r>
          </w:p>
        </w:tc>
        <w:tc>
          <w:tcPr>
            <w:tcW w:type="dxa" w:w="2880"/>
          </w:tcPr>
          <w:p>
            <w:r>
              <w:t>Jeffrey Ochoa</w:t>
            </w:r>
          </w:p>
        </w:tc>
        <w:tc>
          <w:tcPr>
            <w:tcW w:type="dxa" w:w="2880"/>
          </w:tcPr>
          <w:p>
            <w:r>
              <w:t>Next session</w:t>
            </w:r>
          </w:p>
        </w:tc>
      </w:tr>
      <w:tr>
        <w:tc>
          <w:tcPr>
            <w:tcW w:type="dxa" w:w="2880"/>
          </w:tcPr>
          <w:p>
            <w:r>
              <w:t>Draft the assumption memo for the board</w:t>
            </w:r>
          </w:p>
        </w:tc>
        <w:tc>
          <w:tcPr>
            <w:tcW w:type="dxa" w:w="2880"/>
          </w:tcPr>
          <w:p>
            <w:r>
              <w:t>Jennifer Vasquez</w:t>
            </w:r>
          </w:p>
        </w:tc>
        <w:tc>
          <w:tcPr>
            <w:tcW w:type="dxa" w:w="2880"/>
          </w:tcPr>
          <w:p>
            <w:r>
              <w:t>Next session</w:t>
            </w:r>
          </w:p>
        </w:tc>
      </w:tr>
      <w:tr>
        <w:tc>
          <w:tcPr>
            <w:tcW w:type="dxa" w:w="2880"/>
          </w:tcPr>
          <w:p>
            <w:r>
              <w:t>Confirm the closed early-retirement window provision</w:t>
            </w:r>
          </w:p>
        </w:tc>
        <w:tc>
          <w:tcPr>
            <w:tcW w:type="dxa" w:w="2880"/>
          </w:tcPr>
          <w:p>
            <w:r>
              <w:t>Elizabeth Horne</w:t>
            </w:r>
          </w:p>
        </w:tc>
        <w:tc>
          <w:tcPr>
            <w:tcW w:type="dxa" w:w="2880"/>
          </w:tcPr>
          <w:p>
            <w:r>
              <w:t>This period</w:t>
            </w:r>
          </w:p>
        </w:tc>
      </w:tr>
    </w:tbl>
    <w:p>
      <w:r>
        <w:t>Minutes prepared by Jeffrey Ochoa.</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Pension Valuation for Howard and Sons</dc:title>
  <dc:subject/>
  <dc:creator>Jeffrey Ochoa</dc:creator>
  <cp:keywords/>
  <dc:description>generated by python-docx</dc:description>
  <cp:lastModifiedBy>Jeffrey Ochoa</cp:lastModifiedBy>
  <cp:revision>1</cp:revision>
  <dcterms:created xsi:type="dcterms:W3CDTF">2016-06-10T09:00:00Z</dcterms:created>
  <dcterms:modified xsi:type="dcterms:W3CDTF">2016-06-10T09:00:00Z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