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Jennifer Vasquez, Amanda White, Linda Hanna</w:t>
        <w:br/>
        <w:t>From: Jeffrey Ochoa</w:t>
        <w:br/>
        <w:t>Date: July 4, 2020</w:t>
        <w:br/>
        <w:t>Re: Retiree medical valuation for Martinez LLC — engagement kickoff</w:t>
      </w:r>
    </w:p>
    <w:p>
      <w:pPr>
        <w:pStyle w:val="Heading2"/>
      </w:pPr>
      <w:r>
        <w:t>The Point of This Engagement</w:t>
      </w:r>
    </w:p>
    <w:p>
      <w:r>
        <w:t>The deliverable is a defensible measurement of the retiree medical obligation Martinez LLC carries, reported under ASC 715-60, with a workbook of exhibits behind it and one presentation to the client's management. Everything below serves that. Work opens July 1, 2020, and we have roughly eight months, which is comfortable if the data arrive on time and tight if they do not. Our client contact is Jason Wagner, the general manager. Scope questions route through Jennifer Vasquez before they reach him, so he hears one considered answer rather than three partial ones.</w:t>
      </w:r>
    </w:p>
    <w:p>
      <w:r>
        <w:t>One discipline governs the whole engagement, so I will state it once here. We keep what the data show, what we assume, and what we conclude in separate places, in the workbook and in the report both. Anyone drafting a paragraph that mixes the three should expect it back. The reason is not style. It is that the client, and anyone who later reads the opinion, needs to see which numbers are measured and which rest on judgment, and that distinction is easy to lose if we do not hold it from the first exhibit.</w:t>
      </w:r>
    </w:p>
    <w:p>
      <w:pPr>
        <w:pStyle w:val="Heading2"/>
      </w:pPr>
      <w:r>
        <w:t>What We Owe the Client</w:t>
      </w:r>
    </w:p>
    <w:p>
      <w:r>
        <w:t>Two things are due at the end. The first is a workbook of exhibits that carries the measurement from the census through to the accounting figures the client's statements disclose, built so each figure can be traced to its source. The second is a written report that interprets those exhibits and names the standards the work is performed under. The fee covers both, plus one presentation of the results. It does not cover a re-measurement for a plan amendment; if the board's discussed change is adopted, that is priced separately, and Jennifer Vasquez owns that conversation.</w:t>
      </w:r>
    </w:p>
    <w:p>
      <w:pPr>
        <w:pStyle w:val="Heading2"/>
      </w:pPr>
      <w:r>
        <w:t>How the Work Divides</w:t>
      </w:r>
    </w:p>
    <w:p>
      <w:r>
        <w:t>Four pieces of work run in parallel, each with an owner. They are not strictly sequential, but the data piece gates the rest, so it starts first and hardest.</w:t>
      </w:r>
    </w:p>
    <w:p>
      <w:pPr>
        <w:pStyle w:val="ListBullet"/>
      </w:pPr>
      <w:r>
        <w:t>Data. Amanda White reconciles the census and the plan documents against the client's own records as they arrive, and logs each file and the date we received it.</w:t>
      </w:r>
    </w:p>
    <w:p>
      <w:pPr>
        <w:pStyle w:val="ListBullet"/>
      </w:pPr>
      <w:r>
        <w:t>Modeling. I build the valuation model and run the obligation, and chase any result that looks wrong back to the assumption behind it.</w:t>
      </w:r>
    </w:p>
    <w:p>
      <w:pPr>
        <w:pStyle w:val="ListBullet"/>
      </w:pPr>
      <w:r>
        <w:t>Assumptions and scope. Jennifer Vasquez sets the assumption basis with me and holds the line on what the engagement does and does not cover.</w:t>
      </w:r>
    </w:p>
    <w:p>
      <w:pPr>
        <w:pStyle w:val="ListBullet"/>
      </w:pPr>
      <w:r>
        <w:t>Correspondence and logistics. Linda Hanna handles the data requests to the client's staff and keeps the schedule of who owes what to whom.</w:t>
      </w:r>
    </w:p>
    <w:p>
      <w:pPr>
        <w:pStyle w:val="Heading2"/>
      </w:pPr>
      <w:r>
        <w:t>The Shape of the Eight Months</w:t>
      </w:r>
    </w:p>
    <w:p>
      <w:r>
        <w:t>The engagement falls into three stretches, and I will hold us to them. The first is data: collect the census and plan documents and reconcile them, and settle the plan provisions we measure. The second is measurement: set the assumptions, run the obligation, and build the exhibits. The third is the report and the presentation. The stretches overlap at the seams, but a slip in the first pushes the whole schedule, which is why the data request goes out this week and not next.</w:t>
      </w:r>
    </w:p>
    <w:p>
      <w:pPr>
        <w:pStyle w:val="Heading2"/>
      </w:pPr>
      <w:r>
        <w:t>Where We Start</w:t>
      </w:r>
    </w:p>
    <w:p>
      <w:r>
        <w:t>The first task is data, because nothing else can move without it. Amanda White will send the client an itemized data request this week, so there is no ambiguity about what we need or in what form. I will stand up the model against last cycle's structure so it is ready when the census lands, and I will not touch a single assumption until the data are reconciled. Jennifer Vasquez will confirm the plan provisions and the measurement date with Jason Wagner, and she will pin down whether we are measuring the plan as it stands or as the board may amend it. Linda Hanna will keep the request log and flag anything that slips before it costs us a week. We meet again once the census is in hand and reconciled.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Retiree Medical Valuation for Martinez LLC</dc:title>
  <dc:subject/>
  <dc:creator>Jeffrey Ochoa</dc:creator>
  <cp:keywords/>
  <dc:description>generated by python-docx</dc:description>
  <cp:lastModifiedBy>Jeffrey Ochoa</cp:lastModifiedBy>
  <cp:revision>1</cp:revision>
  <dcterms:created xsi:type="dcterms:W3CDTF">2020-07-04T09:00:00Z</dcterms:created>
  <dcterms:modified xsi:type="dcterms:W3CDTF">2020-07-04T09:00:00Z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