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Retiree Medical Valuation: Status Report</w:t>
      </w:r>
    </w:p>
    <w:p>
      <w:r>
        <w:t>Prepared for Martinez LLC by Meridian Actuarial Advisors on October 22, 2020. Prepared by Jeffrey Ochoa, Actuarial Analyst.</w:t>
      </w:r>
    </w:p>
    <w:p>
      <w:pPr>
        <w:pStyle w:val="Heading2"/>
      </w:pPr>
      <w:r>
        <w:t>Where Things Stand</w:t>
      </w:r>
    </w:p>
    <w:p>
      <w:r>
        <w:t>The engagement is at its midpoint and on the schedule we set at the start. The character of the work has changed in a way worth naming. For the first stretch our attention was on your data, on assembling it and satisfying ourselves that it was complete and consistent, and that stretch is behind us. We have turned to the measurement itself, which is the part the opinion ultimately rests on. Nothing we have seen so far changes the shape of the engagement or the roughly eight-month path we laid out at the beginning. Measured against the fixed fee of $118,500, a little under half has been earned to date, which tracks the work completed and the schedule we agreed.</w:t>
      </w:r>
    </w:p>
    <w:p>
      <w:pPr>
        <w:pStyle w:val="Heading2"/>
      </w:pPr>
      <w:r>
        <w:t>What We Completed This Period</w:t>
      </w:r>
    </w:p>
    <w:p>
      <w:r>
        <w:t>The reconciliation was the substantial piece of this period, and Amanda White carried it. She reconstructed the census and the plan detail from the files your office supplied and reconciled them, line by line, to the records you carry, working at the grouping your own system produces so the two sets of figures meet directly. A coding question on a small group of early retirees, which we flagged early rather than let it sit, turned out to be a plan-eligibility distinction and not a data error. It is now documented and closed, with the source of the difference written down so it will not be reopened. The figures we measure are therefore the figures you actually carry. That is not a small thing. It means the obligation we build from here rests on your own records and not on a reconstruction of them, and it lets us state plainly, when the report is written, exactly what we relied on and what we tested ourselves.</w:t>
      </w:r>
    </w:p>
    <w:p>
      <w:r>
        <w:t>Alongside the reconciliation we began setting the assumptions the measurement requires, and we keep them on separate footings. The discount rate, the health care cost trend, and the mortality basis are each stated and supported on their own, and we mark which rest on regulation and which rest on judgment. Keeping those apart from the start matters, because by the end they become two different conversations, and it is far easier to hold them separate throughout than to untangle them later. Amanda White is keeping the assumption log current as we go, so that when the report is written it can show plainly which input is measured and which is assumed.</w:t>
      </w:r>
    </w:p>
    <w:p>
      <w:pPr>
        <w:pStyle w:val="Heading2"/>
      </w:pPr>
      <w:r>
        <w:t>The Work Ahead</w:t>
      </w:r>
    </w:p>
    <w:p>
      <w:r>
        <w:t>Over the coming weeks the center of gravity moves to the measurement of the obligation and the workbook of exhibits that carries it, from the census through to the accounting figures your statements disclose. The exhibits are built so that each figure can be traced back to its source rather than presented as a single total to be taken on trust. As they take shape, Jennifer Vasquez is settling which of management's questions the measurement can genuinely answer and which it cannot, so the report commits only to what the work supports and is candid about the rest. We will begin drafting as the figures firm up, holding to the structure we keep throughout: what the data show, what we assumed, and what we conclude, kept as three separate matters.</w:t>
      </w:r>
    </w:p>
    <w:p>
      <w:r>
        <w:t>The fee also covers one presentation of the results to your management. We will schedule that once the report is in near-final form, so the conversation is about findings rather than drafts.</w:t>
      </w:r>
    </w:p>
    <w:p>
      <w:pPr>
        <w:pStyle w:val="Heading2"/>
      </w:pPr>
      <w:r>
        <w:t>What Could Move the Schedule</w:t>
      </w:r>
    </w:p>
    <w:p>
      <w:r>
        <w:t>The main thing that could move the timeline is, as it has been from the start, the data. The adopted plan document and the final retiree contribution schedule are the last items outstanding, and the measurement cannot be finalized until they are in hand. We have asked for them and do not expect a difficulty. The other thing worth naming now, so it is no surprise later, is the measurement itself. If the obligation lands materially away from what your current accrual suggests, Jennifer Vasquez will walk it through with your staff before any of us draws a conclusion from it, and we would raise it with you the moment it appears, well ahead of the final report.</w:t>
      </w:r>
    </w:p>
    <w:p>
      <w:r>
        <w:t>The one item that keeps us on track is the outstanding plan document set. Once it reaches us we can finalize the assumptions and give you a first honest read of the obligation. We will send a short note the moment it is in hand, and we will flag any surprise to you as soon as we see it rather than saving it for the report.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Retiree Medical Valuation for Martinez LLC</dc:title>
  <dc:subject/>
  <dc:creator>Jeffrey Ochoa</dc:creator>
  <cp:keywords/>
  <dc:description>generated by python-docx</dc:description>
  <cp:lastModifiedBy>Jeffrey Ochoa</cp:lastModifiedBy>
  <cp:revision>1</cp:revision>
  <dcterms:created xsi:type="dcterms:W3CDTF">2020-10-22T09:00:00Z</dcterms:created>
  <dcterms:modified xsi:type="dcterms:W3CDTF">2020-10-22T09:00:00Z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