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Retiree Medical Valuation for Martinez LLC</w:t>
      </w:r>
    </w:p>
    <w:p>
      <w:r>
        <w:t>Date: September 29, 2020. Minutes recorded by Jennifer Vasquez.</w:t>
      </w:r>
    </w:p>
    <w:p>
      <w:pPr>
        <w:pStyle w:val="Heading2"/>
      </w:pPr>
      <w:r>
        <w:t>Present</w:t>
      </w:r>
    </w:p>
    <w:p>
      <w:pPr>
        <w:pStyle w:val="ListBullet"/>
      </w:pPr>
      <w:r>
        <w:t>Jennifer Vasquez, Consulting Actuary, Meridian Actuarial Advisors (recording)</w:t>
      </w:r>
    </w:p>
    <w:p>
      <w:pPr>
        <w:pStyle w:val="ListBullet"/>
      </w:pPr>
      <w:r>
        <w:t>Jeffrey Ochoa, Actuarial Analyst, Meridian Actuarial Advisors</w:t>
      </w:r>
    </w:p>
    <w:p>
      <w:pPr>
        <w:pStyle w:val="ListBullet"/>
      </w:pPr>
      <w:r>
        <w:t>Amanda White, Actuarial Associate, Meridian Actuarial Advisors</w:t>
      </w:r>
    </w:p>
    <w:p>
      <w:pPr>
        <w:pStyle w:val="ListBullet"/>
      </w:pPr>
      <w:r>
        <w:t>Jason Wagner, General Manager, Martinez LLC</w:t>
      </w:r>
    </w:p>
    <w:p>
      <w:pPr>
        <w:pStyle w:val="Heading2"/>
      </w:pPr>
      <w:r>
        <w:t>Purpose</w:t>
      </w:r>
    </w:p>
    <w:p>
      <w:r>
        <w:t>The session confirmed that the engagement can move from assembling data to setting assumptions. The census and plan documents are reconciled. No obligation figures were presented; it is too early for them.</w:t>
      </w:r>
    </w:p>
    <w:p>
      <w:pPr>
        <w:pStyle w:val="Heading2"/>
      </w:pPr>
      <w:r>
        <w:t>Data</w:t>
      </w:r>
    </w:p>
    <w:p>
      <w:r>
        <w:t>Amanda White reported that the census and the plan documents reconcile to the client's own records within the tolerance set at the outset. The reconciliation was run at the grouping the client's system produces, so the two sets of figures meet directly. One coding question on a small group of early retirees resolved as a plan-eligibility distinction, not a data error, and it is documented in the working papers. Reliance on each file is logged against the date it was received and the person who supplied it.</w:t>
      </w:r>
    </w:p>
    <w:p>
      <w:r>
        <w:t>One item remains open on the data. The final retiree contribution schedule has not arrived, and the current draft carries a placeholder for it. Amanda White will close that item once the client sends the adopted schedule. Nothing measured so far depends on it.</w:t>
      </w:r>
    </w:p>
    <w:p>
      <w:pPr>
        <w:pStyle w:val="Heading2"/>
      </w:pPr>
      <w:r>
        <w:t>Assumptions</w:t>
      </w:r>
    </w:p>
    <w:p>
      <w:r>
        <w:t>Jeffrey Ochoa walked through the assumption basis the measurement requires. The discount rate, the health care cost trend, and the mortality basis were each discussed on their own footing. The group kept two categories apart: assumptions the accounting standard constrains, and assumptions that rest on judgment. That separation was treated as the backbone of the eventual report, since the two categories carry different weight when the firm signs its name.</w:t>
      </w:r>
    </w:p>
    <w:p>
      <w:r>
        <w:t>The trend assumption drew the most discussion. Jeffrey Ochoa noted that the obligation is more sensitive to the health care cost trend than to any other single input, and that the report will show that sensitivity rather than bury it in a single figure. The mortality basis will use a published table with a recognized improvement scale, documented so the reader can see what was chosen and why. No values were settled at the session; they will be set and supported before the next meeting.</w:t>
      </w:r>
    </w:p>
    <w:p>
      <w:r>
        <w:t>Jason Wagner confirmed the plan provisions in effect at the measurement date and the retiree contribution schedule as it currently stands. He noted that the board has discussed a change to the contribution structure but has not adopted it. The group agreed the valuation measures the plan as it stands, and that any amendment would be priced and measured separately.</w:t>
      </w:r>
    </w:p>
    <w:p>
      <w:r>
        <w:t>Jennifer Vasquez set out which of management's questions the measurement will answer and which it will not. The obligation and its sensitivity to the trend assumption are answerable. A forecast of future contribution rates is not, and the report will say so plainly rather than imply a precision the work does not support.</w:t>
      </w:r>
    </w:p>
    <w:p>
      <w:pPr>
        <w:pStyle w:val="Heading2"/>
      </w:pPr>
      <w:r>
        <w:t>Schedule</w:t>
      </w:r>
    </w:p>
    <w:p>
      <w:r>
        <w:t>The engagement is at roughly its midpoint and on the schedule set at the start. The data stretch is closing and the measurement stretch is opening. The one dependency that could move the timeline is the outstanding contribution schedule, and the group agreed it is not a concern yet.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Finalize the reconciled census and close the eligibility coding question</w:t>
            </w:r>
          </w:p>
        </w:tc>
        <w:tc>
          <w:tcPr>
            <w:tcW w:type="dxa" w:w="2880"/>
          </w:tcPr>
          <w:p>
            <w:r>
              <w:t>Amanda White</w:t>
            </w:r>
          </w:p>
        </w:tc>
        <w:tc>
          <w:tcPr>
            <w:tcW w:type="dxa" w:w="2880"/>
          </w:tcPr>
          <w:p>
            <w:r>
              <w:t>Oct 9</w:t>
            </w:r>
          </w:p>
        </w:tc>
      </w:tr>
      <w:tr>
        <w:tc>
          <w:tcPr>
            <w:tcW w:type="dxa" w:w="2880"/>
          </w:tcPr>
          <w:p>
            <w:r>
              <w:t>Set the discount rate and trend basis with Jennifer Vasquez and document the support</w:t>
            </w:r>
          </w:p>
        </w:tc>
        <w:tc>
          <w:tcPr>
            <w:tcW w:type="dxa" w:w="2880"/>
          </w:tcPr>
          <w:p>
            <w:r>
              <w:t>Jeffrey Ochoa</w:t>
            </w:r>
          </w:p>
        </w:tc>
        <w:tc>
          <w:tcPr>
            <w:tcW w:type="dxa" w:w="2880"/>
          </w:tcPr>
          <w:p>
            <w:r>
              <w:t>Oct 16</w:t>
            </w:r>
          </w:p>
        </w:tc>
      </w:tr>
      <w:tr>
        <w:tc>
          <w:tcPr>
            <w:tcW w:type="dxa" w:w="2880"/>
          </w:tcPr>
          <w:p>
            <w:r>
              <w:t>Confirm which management questions the report will and will not answer</w:t>
            </w:r>
          </w:p>
        </w:tc>
        <w:tc>
          <w:tcPr>
            <w:tcW w:type="dxa" w:w="2880"/>
          </w:tcPr>
          <w:p>
            <w:r>
              <w:t>Jennifer Vasquez</w:t>
            </w:r>
          </w:p>
        </w:tc>
        <w:tc>
          <w:tcPr>
            <w:tcW w:type="dxa" w:w="2880"/>
          </w:tcPr>
          <w:p>
            <w:r>
              <w:t>Oct 12</w:t>
            </w:r>
          </w:p>
        </w:tc>
      </w:tr>
      <w:tr>
        <w:tc>
          <w:tcPr>
            <w:tcW w:type="dxa" w:w="2880"/>
          </w:tcPr>
          <w:p>
            <w:r>
              <w:t>Send the adopted plan document and the final contribution schedule</w:t>
            </w:r>
          </w:p>
        </w:tc>
        <w:tc>
          <w:tcPr>
            <w:tcW w:type="dxa" w:w="2880"/>
          </w:tcPr>
          <w:p>
            <w:r>
              <w:t>Jason Wagner</w:t>
            </w:r>
          </w:p>
        </w:tc>
        <w:tc>
          <w:tcPr>
            <w:tcW w:type="dxa" w:w="2880"/>
          </w:tcPr>
          <w:p>
            <w:r>
              <w:t>Oct 7</w:t>
            </w:r>
          </w:p>
        </w:tc>
      </w:tr>
    </w:tbl>
    <w:p>
      <w:r>
        <w:t>The next session will review the first obligation figures once the assumptions are set.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Retiree Medical Valuation for Martinez LLC</dc:title>
  <dc:subject/>
  <dc:creator>Jennifer Vasquez</dc:creator>
  <cp:keywords/>
  <dc:description>generated by python-docx</dc:description>
  <cp:lastModifiedBy>Jennifer Vasquez</cp:lastModifiedBy>
  <cp:revision>1</cp:revision>
  <dcterms:created xsi:type="dcterms:W3CDTF">2020-09-29T09:00:00Z</dcterms:created>
  <dcterms:modified xsi:type="dcterms:W3CDTF">2020-09-29T09:00:00Z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