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Session: Retiree Medical Valuation for Martinez LLC</w:t>
      </w:r>
    </w:p>
    <w:p>
      <w:r>
        <w:t>Date: December 28, 2020. Minutes recorded by Jennifer Vasquez.</w:t>
      </w:r>
    </w:p>
    <w:p>
      <w:pPr>
        <w:pStyle w:val="Heading2"/>
      </w:pPr>
      <w:r>
        <w:t>In Attendance</w:t>
      </w:r>
    </w:p>
    <w:p>
      <w:pPr>
        <w:pStyle w:val="ListBullet"/>
      </w:pPr>
      <w:r>
        <w:t>Jennifer Vasquez, Consulting Actuary, Meridian Actuarial Advisors (recording)</w:t>
      </w:r>
    </w:p>
    <w:p>
      <w:pPr>
        <w:pStyle w:val="ListBullet"/>
      </w:pPr>
      <w:r>
        <w:t>Jeffrey Ochoa, Actuarial Analyst, Meridian Actuarial Advisors</w:t>
      </w:r>
    </w:p>
    <w:p>
      <w:pPr>
        <w:pStyle w:val="ListBullet"/>
      </w:pPr>
      <w:r>
        <w:t>Amanda White, Actuarial Associate, Meridian Actuarial Advisors</w:t>
      </w:r>
    </w:p>
    <w:p>
      <w:pPr>
        <w:pStyle w:val="ListBullet"/>
      </w:pPr>
      <w:r>
        <w:t>Jason Wagner, General Manager, Martinez LLC</w:t>
      </w:r>
    </w:p>
    <w:p>
      <w:pPr>
        <w:pStyle w:val="Heading2"/>
      </w:pPr>
      <w:r>
        <w:t>Purpose</w:t>
      </w:r>
    </w:p>
    <w:p>
      <w:r>
        <w:t>The measurement is complete and the draft report is with the client for review. The session worked through the client's comments and fixed the steps to a final, signed opinion. None of the comments touched the measured obligation.</w:t>
      </w:r>
    </w:p>
    <w:p>
      <w:pPr>
        <w:pStyle w:val="Heading2"/>
      </w:pPr>
      <w:r>
        <w:t>The Measurement</w:t>
      </w:r>
    </w:p>
    <w:p>
      <w:r>
        <w:t>Jeffrey Ochoa reported that the obligation is measured and the exhibits reconcile to the census as reconciled earlier in the engagement. The workbook carries each figure from the data through to the accounting disclosure, so every number can be traced to its source. Nothing in the result rests on a figure not tied back to the client's own records.</w:t>
      </w:r>
    </w:p>
    <w:p>
      <w:r>
        <w:t>The measurement reflects the plan as it stands, with the adopted contribution schedule now in place of the earlier placeholder. Jeffrey Ochoa confirmed that swapping the final schedule in did not move the obligation materially. The board's discussed amendment is not reflected, as agreed at the outset, and the report notes that it would require a separate measurement.</w:t>
      </w:r>
    </w:p>
    <w:p>
      <w:pPr>
        <w:pStyle w:val="Heading2"/>
      </w:pPr>
      <w:r>
        <w:t>The Draft Report</w:t>
      </w:r>
    </w:p>
    <w:p>
      <w:r>
        <w:t>Amanda White confirmed that the exhibits in the draft match the final workbook. The report keeps its three parts: what the data show, what was assumed, and what is concluded. The actuarial standards the opinion rests on are named, and the reliance on the client's data is stated plainly. The reliance language was read through at the session and agreed as it stands.</w:t>
      </w:r>
    </w:p>
    <w:p>
      <w:r>
        <w:t>Amanda White also walked the disclosure exhibit, which carries the obligation through to the figures the client's statements report. Each line ties back to an earlier exhibit, so the disclosure is not a separate calculation but the end of one chain. The group confirmed the exhibit is complete and consistent with the measurement behind it.</w:t>
      </w:r>
    </w:p>
    <w:p>
      <w:r>
        <w:t>Jason Wagner presented management's comments on the draft. The comments concerned the presentation of the trend sensitivity and the wording of one assumption rationale. They did not question the obligation or the measured inputs, and the group treated that as the important point.</w:t>
      </w:r>
    </w:p>
    <w:p>
      <w:r>
        <w:t>Jennifer Vasquez confirmed which comments the report will take up and which reflect a professional judgment the firm will not move off. The presentation of the sensitivity will be reworked to read more plainly. The judgment on the trend basis stands, and the report will set out the reasoning so the reader can weigh it, whether or not they share it.</w:t>
      </w:r>
    </w:p>
    <w:p>
      <w:pPr>
        <w:pStyle w:val="Heading2"/>
      </w:pPr>
      <w:r>
        <w:t>Remaining Steps</w:t>
      </w:r>
    </w:p>
    <w:p>
      <w:r>
        <w:t>The engagement is in its final stretch and on the schedule agreed at the start. The remaining steps are mechanical: fold in the agreed edits, reconcile the exhibits a last time, and prepare the signed opinion. Once the report is in near-final form, Jennifer Vasquez will schedule the one presentation of the results to management.</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Rework the trend-sensitivity exhibit for clarity and reconcile it to the workbook</w:t>
            </w:r>
          </w:p>
        </w:tc>
        <w:tc>
          <w:tcPr>
            <w:tcW w:type="dxa" w:w="2880"/>
          </w:tcPr>
          <w:p>
            <w:r>
              <w:t>Amanda White</w:t>
            </w:r>
          </w:p>
        </w:tc>
        <w:tc>
          <w:tcPr>
            <w:tcW w:type="dxa" w:w="2880"/>
          </w:tcPr>
          <w:p>
            <w:r>
              <w:t>Jan 8</w:t>
            </w:r>
          </w:p>
        </w:tc>
      </w:tr>
      <w:tr>
        <w:tc>
          <w:tcPr>
            <w:tcW w:type="dxa" w:w="2880"/>
          </w:tcPr>
          <w:p>
            <w:r>
              <w:t>Set out the rationale for the trend basis in the report text</w:t>
            </w:r>
          </w:p>
        </w:tc>
        <w:tc>
          <w:tcPr>
            <w:tcW w:type="dxa" w:w="2880"/>
          </w:tcPr>
          <w:p>
            <w:r>
              <w:t>Jennifer Vasquez</w:t>
            </w:r>
          </w:p>
        </w:tc>
        <w:tc>
          <w:tcPr>
            <w:tcW w:type="dxa" w:w="2880"/>
          </w:tcPr>
          <w:p>
            <w:r>
              <w:t>Jan 11</w:t>
            </w:r>
          </w:p>
        </w:tc>
      </w:tr>
      <w:tr>
        <w:tc>
          <w:tcPr>
            <w:tcW w:type="dxa" w:w="2880"/>
          </w:tcPr>
          <w:p>
            <w:r>
              <w:t>Complete the final reconciliation of the exhibits to the measurement</w:t>
            </w:r>
          </w:p>
        </w:tc>
        <w:tc>
          <w:tcPr>
            <w:tcW w:type="dxa" w:w="2880"/>
          </w:tcPr>
          <w:p>
            <w:r>
              <w:t>Jeffrey Ochoa</w:t>
            </w:r>
          </w:p>
        </w:tc>
        <w:tc>
          <w:tcPr>
            <w:tcW w:type="dxa" w:w="2880"/>
          </w:tcPr>
          <w:p>
            <w:r>
              <w:t>Jan 13</w:t>
            </w:r>
          </w:p>
        </w:tc>
      </w:tr>
      <w:tr>
        <w:tc>
          <w:tcPr>
            <w:tcW w:type="dxa" w:w="2880"/>
          </w:tcPr>
          <w:p>
            <w:r>
              <w:t>Confirm management's remaining questions are resolved</w:t>
            </w:r>
          </w:p>
        </w:tc>
        <w:tc>
          <w:tcPr>
            <w:tcW w:type="dxa" w:w="2880"/>
          </w:tcPr>
          <w:p>
            <w:r>
              <w:t>Jason Wagner</w:t>
            </w:r>
          </w:p>
        </w:tc>
        <w:tc>
          <w:tcPr>
            <w:tcW w:type="dxa" w:w="2880"/>
          </w:tcPr>
          <w:p>
            <w:r>
              <w:t>Jan 7</w:t>
            </w:r>
          </w:p>
        </w:tc>
      </w:tr>
    </w:tbl>
    <w:p>
      <w:r>
        <w:t>The next session will review the final draft ahead of sign-off and schedule the presentation to management.</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Retiree Medical Valuation for Martinez LLC</dc:title>
  <dc:subject/>
  <dc:creator>Jennifer Vasquez</dc:creator>
  <cp:keywords/>
  <dc:description>generated by python-docx</dc:description>
  <cp:lastModifiedBy>Jennifer Vasquez</cp:lastModifiedBy>
  <cp:revision>1</cp:revision>
  <dcterms:created xsi:type="dcterms:W3CDTF">2020-12-28T09:00:00Z</dcterms:created>
  <dcterms:modified xsi:type="dcterms:W3CDTF">2020-12-28T09:00:00Z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