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Reserve Adequacy Review: Status Report</w:t>
      </w:r>
    </w:p>
    <w:p>
      <w:r>
        <w:t>Prepared for Miller, Cook and Snyder by Meridian Actuarial Advisors on December 4, 2017. Prepared by Megan Dudley, Actuarial Associate.</w:t>
      </w:r>
    </w:p>
    <w:p>
      <w:pPr>
        <w:pStyle w:val="Heading2"/>
      </w:pPr>
      <w:r>
        <w:t>Where the Engagement Stands</w:t>
      </w:r>
    </w:p>
    <w:p>
      <w:r>
        <w:t>We are at the midpoint of the review, and the character of the work has changed in a way worth naming. For the first stretch our attention was on assembling your data and satisfying ourselves that it was complete and consistent; that stretch is behind us. The reconciliation of your reserve detail against your year-end records is finished, and we have turned to forming our own estimate of the reserves, which is the part the opinion ultimately rests on. Nothing we have seen so far changes the shape of the engagement or the roughly seven-month path we set out at the beginning. Measured against the fixed fee of $78,000, a little under half has been earned to date, which tracks the work completed and the schedule we agreed.</w:t>
      </w:r>
    </w:p>
    <w:p>
      <w:pPr>
        <w:pStyle w:val="Heading2"/>
      </w:pPr>
      <w:r>
        <w:t>What We Completed This Period</w:t>
      </w:r>
    </w:p>
    <w:p>
      <w:r>
        <w:t>The reconciliation was the substantial piece of this period, and David Sherman carried it. He reconstructed the reserve detail from the files your team supplied and tied it, line by line, to the financial records the reserves are carried against, working at the grouping level your own system produces so the two sets of figures meet directly. A single difference at the summary level, which we flagged early rather than let it sit, turned out to be a rounding artifact where the aggregate total had been rounded on its own; it is now documented and closed, with the source of the difference written down so it will not be reopened. The figures we are testing are therefore the figures you actually carry. That is not a small thing. It means the independent estimate we build from here rests on your own numbers and not on a reconstruction of them, and it lets us state plainly, when the report is written, exactly what we relied on and what we tested ourselves.</w:t>
      </w:r>
    </w:p>
    <w:p>
      <w:r>
        <w:t>Alongside the reconciliation we began separating the assumptions behind the current reserves into two groups: those that regulation fixes, which we take as given, and those that rest on judgment, which are the ones the review actually tests. Keeping those apart from the start matters, because by the end they become two quite different conversations, and it is far easier to hold them separate throughout than to untangle them later. I have kept the assumption log current as we go, marking each input as measured or assumed, so that when the report is written it can show plainly which is which.</w:t>
      </w:r>
    </w:p>
    <w:p>
      <w:pPr>
        <w:pStyle w:val="Heading2"/>
      </w:pPr>
      <w:r>
        <w:t>The Work Ahead</w:t>
      </w:r>
    </w:p>
    <w:p>
      <w:r>
        <w:t>Over the coming weeks the center of gravity moves to the independent estimate of the required reserves and the comparison against the figures you carry. The estimate is built up from the reconciled data segment by segment, so that when we set it beside your carried reserves the two are measured on the same footing. Where the two differ, we will attribute the difference to its sources rather than hand you a single net number that hides more than it tells; a difference traced to a particular assumption is a very different thing from one traced to how a block of obligations was grouped, and the report will keep them distinct. In parallel, Jennifer Vasquez is settling which of the board's questions the data can genuinely answer and which it cannot, so that the report commits only to what the work supports and is candid about the rest. As the estimate takes shape we will start drafting, holding to the structure we have described throughout: what the data show, what we assumed, and what we conclude, kept as three separate matters.</w:t>
      </w:r>
    </w:p>
    <w:p>
      <w:pPr>
        <w:pStyle w:val="Heading2"/>
      </w:pPr>
      <w:r>
        <w:t>What Could Affect the Schedule</w:t>
      </w:r>
    </w:p>
    <w:p>
      <w:r>
        <w:t>The main thing that could move the timeline is, as it has been from the start, the data. One assumption basis as it stood at the valuation date is still outstanding, and the estimate cannot be finalized until it is in hand; we have asked for it and do not expect it to be a difficulty. The other thing worth flagging now, so it is no surprise later, is the comparison itself. If it surfaces a genuine gap between the carried and the required reserves, Jennifer Vasquez will walk it through with your staff before any of us draws a conclusion from it, and we would raise it with you the moment it appears, well ahead of the final report.</w:t>
      </w:r>
    </w:p>
    <w:p>
      <w:r>
        <w:t>The one thing that keeps us on track is that outstanding assumption basis. Once it reaches us we can finalize the independent estimate and give you a first honest read of where the carried reserves stand, and we will send a short note the moment it is in hand.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Reserve Adequacy Review for Miller, Cook and Snyder</dc:title>
  <dc:subject/>
  <dc:creator>Megan Dudley</dc:creator>
  <cp:keywords/>
  <dc:description>generated by python-docx</dc:description>
  <cp:lastModifiedBy>Megan Dudley</cp:lastModifiedBy>
  <cp:revision>1</cp:revision>
  <dcterms:created xsi:type="dcterms:W3CDTF">2017-12-04T09:00:00Z</dcterms:created>
  <dcterms:modified xsi:type="dcterms:W3CDTF">2017-12-04T09:00:00Z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