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Funding Policy Study for Wells, Walsh and Martinez</w:t>
      </w:r>
    </w:p>
    <w:p>
      <w:r>
        <w:t>Prepared by Michelle Banks, Actuarial Associate, for the leadership of Wells, Walsh and Martinez. This report covers the study at its midpoint. The work is where the plan called for it to be at this stage: the data is closed, the projection workbook is built, and the scenario runs have begun.</w:t>
      </w:r>
    </w:p>
    <w:p>
      <w:pPr>
        <w:pStyle w:val="Heading2"/>
      </w:pPr>
      <w:r>
        <w:t>Summary</w:t>
      </w:r>
    </w:p>
    <w:p>
      <w:r>
        <w:t>The study is on schedule and within the agreed scope. The participant and asset data is reconciled and closed, and the current funding policy and plan provisions are confirmed as written.</w:t>
      </w:r>
    </w:p>
    <w:p>
      <w:r>
        <w:t>The projection workbook is built and checked, and the first scenario runs are complete and in review. What remains is the bulk of the scenario analysis and the drafting of the report and its exhibits.</w:t>
      </w:r>
    </w:p>
    <w:p>
      <w:r>
        <w:t>Nothing to date has surprised us. The one open data item, noted below, is the sort we expected to work through at this stage, and we are handling it accordingly rather than letting it hold up the modeling.</w:t>
      </w:r>
    </w:p>
    <w:p>
      <w:pPr>
        <w:pStyle w:val="Heading2"/>
      </w:pPr>
      <w:r>
        <w:t>Finished this period</w:t>
      </w:r>
    </w:p>
    <w:p>
      <w:r>
        <w:t>Three things closed since the engagement began:</w:t>
      </w:r>
    </w:p>
    <w:p>
      <w:pPr>
        <w:pStyle w:val="ListBullet"/>
      </w:pPr>
      <w:r>
        <w:t>Data reconciliation. David Sherman rebuilt the census from the files your team at Wells, Walsh and Martinez provided and tied the head counts, the covered payroll, and the benefit amounts to the prior year. The handful of records that arrived without clean service dates were resolved against your source data. The reconciled file is now the basis for everything downstream, and the report will state that we relied on it.</w:t>
      </w:r>
    </w:p>
    <w:p>
      <w:pPr>
        <w:pStyle w:val="ListBullet"/>
      </w:pPr>
      <w:r>
        <w:t>Provisions and policy. We confirmed the plan provisions and the current funding policy as written, so the study measures what the plan actually does today rather than what a summary of it says. Where the written policy left a step to judgment, we noted it for the report instead of filling it in ourselves.</w:t>
      </w:r>
    </w:p>
    <w:p>
      <w:pPr>
        <w:pStyle w:val="ListBullet"/>
      </w:pPr>
      <w:r>
        <w:t>The projection model. The workbook that carries the policy forward is built and checked, with each exhibit traceable to its source. We ran the baseline twice from clean inputs and got the same numbers, which is the test we use before any scenario work begins.</w:t>
      </w:r>
    </w:p>
    <w:p>
      <w:pPr>
        <w:pStyle w:val="Heading2"/>
      </w:pPr>
      <w:r>
        <w:t>The work ahead</w:t>
      </w:r>
    </w:p>
    <w:p>
      <w:r>
        <w:t>The next stretch is the scenario analysis. We will run the current policy forward under the agreed economic and demographic scenarios and build the exhibits that show how the funded status and the contribution behave across the range.</w:t>
      </w:r>
    </w:p>
    <w:p>
      <w:r>
        <w:t>A separate exhibit will show the year-to-year swing in the contribution, not only its long-run level, so the board can see the volatility the policy carries and not just its average cost.</w:t>
      </w:r>
    </w:p>
    <w:p>
      <w:r>
        <w:t>After the scenarios, we draft the report. It keeps apart the three things that are easy to run together: what the data measure, what we have assumed, and what we conclude. The board will be able to see which conclusions rest on which assumptions, and weigh each one on its own.</w:t>
      </w:r>
    </w:p>
    <w:p>
      <w:pPr>
        <w:pStyle w:val="Heading2"/>
      </w:pPr>
      <w:r>
        <w:t>Budget</w:t>
      </w:r>
    </w:p>
    <w:p>
      <w:r>
        <w:t>The engagement is a fixed fee of $32,500, and the work to date is tracking within it. Roughly half the fee is earned against the data work and the modeling now complete, which is where the study should sit at its midpoint.</w:t>
      </w:r>
    </w:p>
    <w:p>
      <w:r>
        <w:t>We do not foresee a change to the fee. If the scope moves, for instance if the board asks for scenarios beyond the ones we agreed, we will raise it with you and size the added work before we take it on.</w:t>
      </w:r>
    </w:p>
    <w:p>
      <w:pPr>
        <w:pStyle w:val="Heading2"/>
      </w:pPr>
      <w:r>
        <w:t>Schedule</w:t>
      </w:r>
    </w:p>
    <w:p>
      <w:r>
        <w:t>The study sits at its midpoint, and the remaining work is the scenario analysis and the writing. That is the more predictable half of a study like this, because the inputs are settled and the method is set.</w:t>
      </w:r>
    </w:p>
    <w:p>
      <w:r>
        <w:t>We are holding to the plan we set at the outset. If anything in the scenario runs changes that view, you will hear it from us promptly rather than at the next scheduled update.</w:t>
      </w:r>
    </w:p>
    <w:p>
      <w:pPr>
        <w:pStyle w:val="Heading2"/>
      </w:pPr>
      <w:r>
        <w:t>Open items and risk</w:t>
      </w:r>
    </w:p>
    <w:p>
      <w:r>
        <w:t>One data item is still open. The most recent asset statement has not yet tied to the custodian report, and until it does the projections carry the prior valuation's assets as a marked placeholder. We expect this to resolve shortly and do not think it will move the conclusions, but the draft exhibits stay flagged until it clears.</w:t>
      </w:r>
    </w:p>
    <w:p>
      <w:r>
        <w:t>The scenario set is the other item to watch. The scenarios we agreed cover the range we think the board should see, but others can be added if you want them. That would extend the analysis, and we would size it with you first.</w:t>
      </w:r>
    </w:p>
    <w:p>
      <w:r>
        <w:t>Neither item threatens the schedule as it stands. We will send the next update when the scenario runs are complete, with the first exhibits attached for your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Funding Policy Study for Wells, Walsh and Martinez</dc:title>
  <dc:subject/>
  <dc:creator>Michelle Banks</dc:creator>
  <cp:keywords/>
  <dc:description>generated by python-docx</dc:description>
  <cp:lastModifiedBy>Michelle Banks</cp:lastModifiedBy>
  <cp:revision>1</cp:revision>
  <dcterms:created xsi:type="dcterms:W3CDTF">2023-06-22T09:00:00Z</dcterms:created>
  <dcterms:modified xsi:type="dcterms:W3CDTF">2023-06-22T09:00:00Z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