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Funding Policy Study for Wells, Walsh and Martinez</w:t>
      </w:r>
    </w:p>
    <w:p>
      <w:r>
        <w:t>The data is closed, and the study has moved to the projections and the scenarios that sit on top of them. That was the substance of the session. The rest of the discussion was about which scenarios to run and how to present the range, not about the inputs, which are now settled.</w:t>
      </w:r>
    </w:p>
    <w:p>
      <w:pPr>
        <w:pStyle w:val="Heading2"/>
      </w:pPr>
      <w:r>
        <w:t>Attendees</w:t>
      </w:r>
    </w:p>
    <w:p>
      <w:pPr>
        <w:pStyle w:val="ListBullet"/>
      </w:pPr>
      <w:r>
        <w:t>Michelle Banks, Actuarial Associate</w:t>
      </w:r>
    </w:p>
    <w:p>
      <w:pPr>
        <w:pStyle w:val="ListBullet"/>
      </w:pPr>
      <w:r>
        <w:t>David Sherman, Senior Analyst</w:t>
      </w:r>
    </w:p>
    <w:p>
      <w:pPr>
        <w:pStyle w:val="ListBullet"/>
      </w:pPr>
      <w:r>
        <w:t>Lisa Hubbard, Chief Operating Officer, Wells, Walsh and Martinez</w:t>
      </w:r>
    </w:p>
    <w:p>
      <w:pPr>
        <w:pStyle w:val="Heading2"/>
      </w:pPr>
      <w:r>
        <w:t>Discussion</w:t>
      </w:r>
    </w:p>
    <w:p>
      <w:r>
        <w:t>David Sherman took the group through the census, which is now reconciled and closed. The active and inactive counts tie to the prior file, the covered payroll ties as well, and the few records that came in without clean service dates were run down against the client's source data. We rely on the reconciled file from here forward, and the report will say so.</w:t>
      </w:r>
    </w:p>
    <w:p>
      <w:r>
        <w:t>Most of the meeting was about the funding policy itself and how to test it. We agreed to carry the current policy forward under three economic scenarios and two demographic ones, holding the plan provisions fixed as written. The purpose is to show how the policy behaves, not to argue for a change; the exhibits will present the range and leave the weighing to the board.</w:t>
      </w:r>
    </w:p>
    <w:p>
      <w:r>
        <w:t>We reviewed the assumptions that drive the projection. The discount rate, the mortality table, and the assumed pattern of new entrants carry the most weight, and we agreed to test each at the edges of a reasonable range rather than settle on a single point. The assumptions will be set out on their own in the report, apart from the results, so a reader can see each one and weigh it.</w:t>
      </w:r>
    </w:p>
    <w:p>
      <w:r>
        <w:t>Lisa Hubbard asked how contribution volatility would read to the board, and requested that we show the year-to-year swing plainly rather than only the long-run average. We agreed. The workbook will carry a volatility exhibit alongside the funded-status projection, and the report will describe in plain terms what drives the swing.</w:t>
      </w:r>
    </w:p>
    <w:p>
      <w:r>
        <w:t>We also discussed how much of the mechanics to put in front of the board. The sense of the room was to keep the body of the report readable and move the detailed exhibits to the workbook, so the board sees the shape of the choices without wading through the arithmetic behind them.</w:t>
      </w:r>
    </w:p>
    <w:p>
      <w:r>
        <w:t>Lisa Hubbard confirmed that her office will send the final asset statement and a written confirmation of the plan provisions, and said the volatility framing would help her brief the board ahead of the formal presentation. We did not set a date for the next review; it will follow the first full scenario run.</w:t>
      </w:r>
    </w:p>
    <w:p>
      <w:r>
        <w:t>Michelle Banks flagged the one item still open. The most recent asset statement has not yet tied to the custodian report; until it does, the projections carry the prior valuation's assets as a marked placeholder, and every draft exhibit is flagged accordingly.</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Target</w:t>
            </w:r>
          </w:p>
        </w:tc>
      </w:tr>
      <w:tr>
        <w:tc>
          <w:tcPr>
            <w:tcW w:type="dxa" w:w="2880"/>
          </w:tcPr>
          <w:p>
            <w:r>
              <w:t>Reconcile the current asset statement to the custodian report</w:t>
            </w:r>
          </w:p>
        </w:tc>
        <w:tc>
          <w:tcPr>
            <w:tcW w:type="dxa" w:w="2880"/>
          </w:tcPr>
          <w:p>
            <w:r>
              <w:t>David Sherman</w:t>
            </w:r>
          </w:p>
        </w:tc>
        <w:tc>
          <w:tcPr>
            <w:tcW w:type="dxa" w:w="2880"/>
          </w:tcPr>
          <w:p>
            <w:r>
              <w:t>Before the next projection run</w:t>
            </w:r>
          </w:p>
        </w:tc>
      </w:tr>
      <w:tr>
        <w:tc>
          <w:tcPr>
            <w:tcW w:type="dxa" w:w="2880"/>
          </w:tcPr>
          <w:p>
            <w:r>
              <w:t>Confirm the scenario set and assumptions in writing</w:t>
            </w:r>
          </w:p>
        </w:tc>
        <w:tc>
          <w:tcPr>
            <w:tcW w:type="dxa" w:w="2880"/>
          </w:tcPr>
          <w:p>
            <w:r>
              <w:t>Michelle Banks</w:t>
            </w:r>
          </w:p>
        </w:tc>
        <w:tc>
          <w:tcPr>
            <w:tcW w:type="dxa" w:w="2880"/>
          </w:tcPr>
          <w:p>
            <w:r>
              <w:t>This week</w:t>
            </w:r>
          </w:p>
        </w:tc>
      </w:tr>
      <w:tr>
        <w:tc>
          <w:tcPr>
            <w:tcW w:type="dxa" w:w="2880"/>
          </w:tcPr>
          <w:p>
            <w:r>
              <w:t>Provide the final asset statement and confirm the plan provisions</w:t>
            </w:r>
          </w:p>
        </w:tc>
        <w:tc>
          <w:tcPr>
            <w:tcW w:type="dxa" w:w="2880"/>
          </w:tcPr>
          <w:p>
            <w:r>
              <w:t>Lisa Hubbard</w:t>
            </w:r>
          </w:p>
        </w:tc>
        <w:tc>
          <w:tcPr>
            <w:tcW w:type="dxa" w:w="2880"/>
          </w:tcPr>
          <w:p>
            <w:r>
              <w:t>At the client's earliest convenience</w:t>
            </w:r>
          </w:p>
        </w:tc>
      </w:tr>
    </w:tbl>
    <w:p>
      <w:r>
        <w:t>These minutes stand as the record of the session. Corrections should come to me within the week so the action list stays accurate.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Funding Policy Study for Wells, Walsh and Martinez</dc:title>
  <dc:subject/>
  <dc:creator>David Sherman</dc:creator>
  <cp:keywords/>
  <dc:description>generated by python-docx</dc:description>
  <cp:lastModifiedBy>David Sherman</cp:lastModifiedBy>
  <cp:revision>1</cp:revision>
  <dcterms:created xsi:type="dcterms:W3CDTF">2023-06-08T09:00:00Z</dcterms:created>
  <dcterms:modified xsi:type="dcterms:W3CDTF">2023-06-08T09:00:00Z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