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Meridian Actuarial Advisors</w:t>
      </w:r>
    </w:p>
    <w:p>
      <w:r>
        <w:t>We are a consulting actuarial practice. Our clients are the boards and staff who must fund a promise made to someone else's retirement, and our work is to measure that promise honestly and to say plainly what it will cost. We do not sell products and we do not manage money. We are hired for an opinion, and the value of an opinion is that it is careful. That is the whole of what we offer, and we have built the firm around doing it well rather than doing a great deal of it.</w:t>
      </w:r>
    </w:p>
    <w:p>
      <w:r>
        <w:t>Our clients are the people responsible for benefits that come due far in the future. Public pension boards, who must fund the retirements they have promised. A life insurer, which has to hold reserves against the policies on its books. Multiemployer benefit funds, run by trustees who answer to the workers and the employers behind them at once. Different as they are, they engage us for the same reason. They need a number they can defend, and they need to know exactly what it rests on.</w:t>
      </w:r>
    </w:p>
    <w:p>
      <w:pPr>
        <w:pStyle w:val="Heading2"/>
      </w:pPr>
      <w:r>
        <w:t>The work we take on</w:t>
      </w:r>
    </w:p>
    <w:p>
      <w:r>
        <w:t>Most of what we do falls into a few plain categories. We keep the list short on purpose. A firm our size does a few things thoroughly rather than everything passably.</w:t>
      </w:r>
    </w:p>
    <w:p>
      <w:pPr>
        <w:pStyle w:val="ListBullet"/>
      </w:pPr>
      <w:r>
        <w:t>Actuarial valuations for public retirement systems. We measure a plan's liabilities, set out what those numbers depend on, and give the board a funding figure it can stand behind.</w:t>
      </w:r>
    </w:p>
    <w:p>
      <w:pPr>
        <w:pStyle w:val="ListBullet"/>
      </w:pPr>
      <w:r>
        <w:t>Statements of actuarial opinion for a life insurer. We review the reserves held against the policies and opine on whether they are adequate under the standards that govern that opinion.</w:t>
      </w:r>
    </w:p>
    <w:p>
      <w:pPr>
        <w:pStyle w:val="ListBullet"/>
      </w:pPr>
      <w:r>
        <w:t>Funding and certification work for multiemployer benefit funds. We run the annual valuation, prepare the certifications the law requires, and explain to the trustees what the result turns on.</w:t>
      </w:r>
    </w:p>
    <w:p>
      <w:pPr>
        <w:pStyle w:val="ListBullet"/>
      </w:pPr>
      <w:r>
        <w:t>The assumption studies and projections that sit underneath all of the above, because a valuation is only as sound as the experience it is built on.</w:t>
      </w:r>
    </w:p>
    <w:p>
      <w:pPr>
        <w:pStyle w:val="Heading2"/>
      </w:pPr>
      <w:r>
        <w:t>How we write a result</w:t>
      </w:r>
    </w:p>
    <w:p>
      <w:r>
        <w:t>There is a habit that runs through every document we produce, and it is worth stating outright. We keep three things apart. What the data show is one paragraph. What we assumed is a second. What we conclude from the two is a third. A reader should never have to guess which is which, and should never find a judgment dressed up as a measurement. A number presented without its assumptions is not a finished result. It is half of one. A qualified figure a board can rely on is worth more to us than a clean figure it cannot.</w:t>
      </w:r>
    </w:p>
    <w:p>
      <w:pPr>
        <w:pStyle w:val="Heading2"/>
      </w:pPr>
      <w:r>
        <w:t>An example of the work</w:t>
      </w:r>
    </w:p>
    <w:p>
      <w:r>
        <w:t>It may help to name one engagement as an illustration of the kind of client we serve. This year we have been engaged by Howard and Sons, whose board we support with the annual valuation and the funding discussion that follows from it. We offer that as an example, not an inventory. We hold most of our client relationships in confidence, as those clients would expect, and we make no claim here about the book beyond it. What the example is meant to show is the shape of the work, not its extent.</w:t>
      </w:r>
    </w:p>
    <w:p>
      <w:pPr>
        <w:pStyle w:val="Heading2"/>
      </w:pPr>
      <w:r>
        <w:t>Who stands behind the opinion</w:t>
      </w:r>
    </w:p>
    <w:p>
      <w:r>
        <w:t>The practice is led by Robert Lawrence, who signs most of the firm's opinions and carries the professional responsibility that comes with them. Every draft passes under the same review, and the review is consistent. The qualifiers go back in and the loose adjectives come out. That is not a matter of style. When a firm's name is on a statement of opinion, the words have to be exactly as strong as the work supports, and no stronger.</w:t>
      </w:r>
    </w:p>
    <w:p>
      <w:r>
        <w:t>We are glad to talk before any of that. A first conversation costs nothing and usually saves time later, because it tells us whether the question you have is one we are the right firm to answer. If it is, we will say so plainly. If it is not, we will tell you that as well.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2016-05-17T09:00:00Z</dcterms:created>
  <dcterms:modified xsi:type="dcterms:W3CDTF">2016-05-17T09:00:00Z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