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About Meridian Actuarial Advisors</w:t>
      </w:r>
    </w:p>
    <w:p>
      <w:r>
        <w:t>This note sets out what our firm does and for whom, for anyone weighing whether to bring us in. We are a consulting actuarial practice. We are engaged for opinions on the cost of long-dated promises, pensions, reserves, and benefit funds, and for the measurement and judgment that stand behind those opinions. We take on a limited number of engagements and give each of them the attention an opinion carrying our name requires.</w:t>
      </w:r>
    </w:p>
    <w:p>
      <w:r>
        <w:t>In the years since we opened, the practice has grown steadily, and the work has broadened with it, but the discipline has not changed. We still keep the book deliberately small against the number of hands, because the review is the product, and the review does not survive being hurried.</w:t>
      </w:r>
    </w:p>
    <w:p>
      <w:pPr>
        <w:pStyle w:val="Heading2"/>
      </w:pPr>
      <w:r>
        <w:t>Our service lines</w:t>
      </w:r>
    </w:p>
    <w:p>
      <w:r>
        <w:t>The work sorts into a few areas.</w:t>
      </w:r>
    </w:p>
    <w:p>
      <w:pPr>
        <w:pStyle w:val="ListBullet"/>
      </w:pPr>
      <w:r>
        <w:t>Public pension valuations. We value the liabilities of public retirement systems, document what those values rest on, and give each board a funding result it can defend to the people it answers to.</w:t>
      </w:r>
    </w:p>
    <w:p>
      <w:pPr>
        <w:pStyle w:val="ListBullet"/>
      </w:pPr>
      <w:r>
        <w:t>Insurance opinions. We opine on the adequacy of a life insurer's reserves under the applicable standards, and we say plainly where a margin is thin.</w:t>
      </w:r>
    </w:p>
    <w:p>
      <w:pPr>
        <w:pStyle w:val="ListBullet"/>
      </w:pPr>
      <w:r>
        <w:t>Multiemployer plan work. We run the annual valuations for jointly trusteed benefit funds and prepare the certifications the law requires of them.</w:t>
      </w:r>
    </w:p>
    <w:p>
      <w:pPr>
        <w:pStyle w:val="ListBullet"/>
      </w:pPr>
      <w:r>
        <w:t>The supporting studies, experience reviews, assumption setting, and projections, that keep the valuations grounded in what a plan has actually seen.</w:t>
      </w:r>
    </w:p>
    <w:p>
      <w:pPr>
        <w:pStyle w:val="Heading2"/>
      </w:pPr>
      <w:r>
        <w:t>What a client is buying</w:t>
      </w:r>
    </w:p>
    <w:p>
      <w:r>
        <w:t>It is worth being plain about what an engagement with us delivers. Not volume, and not speed for its own sake. What a board or a set of trustees pays for is judgment, and the willingness to state a number at exactly the strength the evidence supports and no more. Our fees are agreed at the outset and the scope is written down, so there is no surprise later about what is ours to do and what is not. When the work raises a question we did not expect, we bring it to you rather than settling it quietly on your behalf.</w:t>
      </w:r>
    </w:p>
    <w:p>
      <w:pPr>
        <w:pStyle w:val="Heading2"/>
      </w:pPr>
      <w:r>
        <w:t>The way we write</w:t>
      </w:r>
    </w:p>
    <w:p>
      <w:r>
        <w:t>Anyone who has read our reports will have noticed a pattern, and it is deliberate. We separate what we measured from what we assumed, and both of those from what we concluded. Each gets its own place on the page. It makes our documents a little longer and a good deal harder to misread, which is the trade we want. A figure offered without its assumptions is not a finished result; it is half of one, and half a result is the kind that gets a board into trouble.</w:t>
      </w:r>
    </w:p>
    <w:p>
      <w:pPr>
        <w:pStyle w:val="Heading2"/>
      </w:pPr>
      <w:r>
        <w:t>Clients we have served</w:t>
      </w:r>
    </w:p>
    <w:p>
      <w:r>
        <w:t>A few examples give a truer sense of the practice than any description of it. Among the boards and funds we have worked with are Howard and Sons, Miller, Cook and Snyder, and Estes Group. We name these as representative of the work, with the clients' goodwill, and not as a full account of it. A great many of our engagements are held in confidence and belong on no such list. We make no claim here about the size of the book, only about the character of the work these examples stand for.</w:t>
      </w:r>
    </w:p>
    <w:p>
      <w:pPr>
        <w:pStyle w:val="Heading2"/>
      </w:pPr>
      <w:r>
        <w:t>The people behind the work</w:t>
      </w:r>
    </w:p>
    <w:p>
      <w:r>
        <w:t>Robert Lawrence leads the practice and signs the bulk of its opinions. Around him is a group of actuaries and analysts who build the valuations, reconcile the client data they rest on, and submit to the same review he takes himself: qualifiers restored, loose adjectives struck, every number traced back to where it came from. The firm has added staff as the work has grown, and each new colleague is brought into that habit early, because it is the habit that lets us put our name to a number at all.</w:t>
      </w:r>
    </w:p>
    <w:p>
      <w:r>
        <w:t>If you are weighing an engagement, start with a conversation. Tell us the question and the deadline, and we will tell you honestly whether we are the firm to answer it and what it would take. That first hour is often the most useful one we spend with a client.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Robert Lawrence</dc:creator>
  <cp:keywords/>
  <dc:description>generated by python-docx</dc:description>
  <cp:lastModifiedBy>Robert Lawrence</cp:lastModifiedBy>
  <cp:revision>1</cp:revision>
  <dcterms:created xsi:type="dcterms:W3CDTF">2019-05-17T09:00:00Z</dcterms:created>
  <dcterms:modified xsi:type="dcterms:W3CDTF">2019-05-17T09:00:00Z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