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Meridian Actuarial Advisors</w:t>
      </w:r>
    </w:p>
    <w:p>
      <w:r>
        <w:t>This overview is for anyone deciding whether to bring us in. We are a consulting actuarial practice, and we are hired for one thing: a defensible opinion on what a long-dated promise will cost to keep. We do not sell products and we do not manage money. A board or a set of trustees engages us for a number it can stand behind, and for a clear account of everything that number rests on. We have built the firm around doing that carefully, and around not taking on more of it than we can do carefully.</w:t>
      </w:r>
    </w:p>
    <w:p>
      <w:pPr>
        <w:pStyle w:val="Heading2"/>
      </w:pPr>
      <w:r>
        <w:t>Whom we work for</w:t>
      </w:r>
    </w:p>
    <w:p>
      <w:r>
        <w:t>Our clients are the people who carry an obligation that comes due far in the future and have to fund it in the present. Public pension boards, who must pay for retirements already promised. A life insurer, holding reserves against the policies on its books. Multiemployer benefit funds, jointly trusteed on behalf of the workers and employers behind them. Their circumstances differ, but they come to us for the same reason. Each has to produce a figure it can defend to the people it answers to, and each needs to know exactly what that figure depends on.</w:t>
      </w:r>
    </w:p>
    <w:p>
      <w:pPr>
        <w:pStyle w:val="Heading2"/>
      </w:pPr>
      <w:r>
        <w:t>The work</w:t>
      </w:r>
    </w:p>
    <w:p>
      <w:r>
        <w:t>We keep the range of what we do deliberately narrow, and do those few things thoroughly.</w:t>
      </w:r>
    </w:p>
    <w:p>
      <w:pPr>
        <w:pStyle w:val="ListBullet"/>
      </w:pPr>
      <w:r>
        <w:t>Public pension valuations. We measure a retirement system's liabilities, document what those values rest on, and give the board a funding result it can defend.</w:t>
      </w:r>
    </w:p>
    <w:p>
      <w:pPr>
        <w:pStyle w:val="ListBullet"/>
      </w:pPr>
      <w:r>
        <w:t>Insurance reserve opinions. We review the reserves a life insurer holds and opine on their adequacy under the standards that govern the opinion, and we say plainly where a margin is thin.</w:t>
      </w:r>
    </w:p>
    <w:p>
      <w:pPr>
        <w:pStyle w:val="ListBullet"/>
      </w:pPr>
      <w:r>
        <w:t>Multiemployer fund work. We run the annual valuations for jointly trusteed funds and prepare the certifications the law requires of them.</w:t>
      </w:r>
    </w:p>
    <w:p>
      <w:pPr>
        <w:pStyle w:val="ListBullet"/>
      </w:pPr>
      <w:r>
        <w:t>Experience and assumption studies. The reviews and projections that sit beneath all of the above, because a valuation is only as sound as the experience it is built on.</w:t>
      </w:r>
    </w:p>
    <w:p>
      <w:pPr>
        <w:pStyle w:val="Heading2"/>
      </w:pPr>
      <w:r>
        <w:t>What an engagement looks like</w:t>
      </w:r>
    </w:p>
    <w:p>
      <w:r>
        <w:t>Every engagement begins with a scope and a fee agreed in writing, so there is never a later argument about what was ours to do. From there the shape is consistent. We start from your data and your own records rather than a template carried in from another client, and we reconcile the figures we test to the figures you actually carry. Where the work turns up a question we did not expect, we bring it to you rather than settle it quietly on your behalf. And when we deliver, the result is written to be read by the people who must act on it, not only by another actuary.</w:t>
      </w:r>
    </w:p>
    <w:p>
      <w:pPr>
        <w:pStyle w:val="Heading2"/>
      </w:pPr>
      <w:r>
        <w:t>How we write a result</w:t>
      </w:r>
    </w:p>
    <w:p>
      <w:r>
        <w:t>There is one habit that runs through every document we produce, and it is worth naming outright. We keep three things apart: what the data show, what we have assumed, and what we conclude from the two. Each gets its own place on the page, so a reader never has to guess which is which and never finds a judgment presented as a measurement. It makes our reports somewhat longer and considerably harder to misread. That is the trade we want. A board that knows precisely which parts of a number are measured and which are assumed is a board that can use the number safely.</w:t>
      </w:r>
    </w:p>
    <w:p>
      <w:pPr>
        <w:pStyle w:val="Heading2"/>
      </w:pPr>
      <w:r>
        <w:t>A few of the engagements</w:t>
      </w:r>
    </w:p>
    <w:p>
      <w:r>
        <w:t>Examples give a truer sense of the practice than any description of it. Among the boards, funds, and insurers we have served are Howard and Sons, Miller, Cook and Snyder, Estes Group, and Martinez LLC. We name these as representative of the work, and with those clients' goodwill, not as an account of the whole book. Many of our engagements are held in confidence and belong on no such list. We make no claim here about the size of the practice or the number of clients it keeps; the examples are meant to show the character of the work, not its extent.</w:t>
      </w:r>
    </w:p>
    <w:p>
      <w:pPr>
        <w:pStyle w:val="Heading2"/>
      </w:pPr>
      <w:r>
        <w:t>The people behind the opinion</w:t>
      </w:r>
    </w:p>
    <w:p>
      <w:r>
        <w:t>The practice is led by Robert Lawrence, who signs the bulk of the firm's opinions and carries the professional responsibility that comes with them. Around him is a group of actuaries and analysts who build the valuations, reconcile the client data those valuations rest on, and submit their drafts to the same review he applies to his own: the qualifiers restored, the loose adjectives struck, every figure traced back to where it came from. We have added people steadily as the work has grown, and each new colleague is brought into that discipline early, because it is the discipline that lets us put the firm's name to a number at all.</w:t>
      </w:r>
    </w:p>
    <w:p>
      <w:r>
        <w:t>If you are weighing an engagement, the place to start is a conversation. Tell us the question and the deadline, and we will tell you honestly whether we are the firm to answer it and what it would take. That first hour tends to be among the most useful we spend with a client, whichever way it comes out.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Robert Lawrence</dc:creator>
  <cp:keywords/>
  <dc:description>generated by python-docx</dc:description>
  <cp:lastModifiedBy>Robert Lawrence</cp:lastModifiedBy>
  <cp:revision>1</cp:revision>
  <dcterms:created xsi:type="dcterms:W3CDTF">2022-05-16T09:00:00Z</dcterms:created>
  <dcterms:modified xsi:type="dcterms:W3CDTF">2022-05-16T09:00:00Z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