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Michelle Banks, we are glad to have you with us. I like to put a new colleague's first weeks in writing, so that you are not left reconstructing how the place works from whatever you happen to overhear. This is the short version.</w:t>
      </w:r>
    </w:p>
    <w:p>
      <w:r>
        <w:t>You come in as an Actuarial Associate on the consulting side. Your early work is the intake end of a valuation: taking in the client data, getting it into shape, and running the first calculations off it before any of it reaches a report. You will report to Jennifer Vasquez, our Consulting Actuary, who sets the valuation schedule and is your first stop when a file or an assumption does not sit right. She will hand you your assignments and answer the questions that come up early.</w:t>
      </w:r>
    </w:p>
    <w:p>
      <w:r>
        <w:t>A few things for the early weeks:</w:t>
      </w:r>
    </w:p>
    <w:p>
      <w:pPr>
        <w:pStyle w:val="ListBullet"/>
      </w:pPr>
      <w:r>
        <w:t>Start inside a live workbook and follow a valuation from the raw client file to the finished exhibit. The mechanics come first, and the judgment comes later; there is no rush to it.</w:t>
      </w:r>
    </w:p>
    <w:p>
      <w:pPr>
        <w:pStyle w:val="ListBullet"/>
      </w:pPr>
      <w:r>
        <w:t>When a number does not tie or a data file raises a question, write the question down and bring it up. We would far rather see an open question named than an answer guessed at.</w:t>
      </w:r>
    </w:p>
    <w:p>
      <w:pPr>
        <w:pStyle w:val="ListBullet"/>
      </w:pPr>
      <w:r>
        <w:t>Read our reports alongside the workbooks that feed them. The careful language of a report is a skill of its own, and you will pick it up faster by seeing which figure in the exhibit each sentence is standing on.</w:t>
      </w:r>
    </w:p>
    <w:p>
      <w:r>
        <w:t>It helps to know whom the work serves. Our clients are boards, trustees, and an insurer who have to fund promises that come due decades from now, and they build real decisions on the numbers we hand them. That is why we are careful to the point of tedium about the data underneath. The reconciliation you will start on is not clerical work; it is the foundation the opinion stands on. Find me in your first week and we will walk a current valuation together. Welcome aboard.</w:t>
      </w:r>
    </w:p>
    <w:p>
      <w:r>
        <w:t>Robert Lawrence, Managing Actuary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Michelle Banks</dc:title>
  <dc:subject/>
  <dc:creator>Robert Lawrence</dc:creator>
  <cp:keywords/>
  <dc:description>generated by python-docx</dc:description>
  <cp:lastModifiedBy>Robert Lawrence</cp:lastModifiedBy>
  <cp:revision>1</cp:revision>
  <dcterms:created xsi:type="dcterms:W3CDTF">2020-06-20T09:00:00Z</dcterms:created>
  <dcterms:modified xsi:type="dcterms:W3CDTF">2020-06-20T09:00:00Z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