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Karen Harris, a note to mark your first day, and to save you the trouble of learning the place by hallway rumor. I write one of these for everyone who joins. It is the surest way I know to see that a new colleague hears the same account of things the rest of us work by.</w:t>
      </w:r>
    </w:p>
    <w:p>
      <w:r>
        <w:t>You are joining the consulting practice as an Actuarial Associate. Your work will run across the engagements rather than sit on any one of them: preparing exhibits and building the assumption tables a valuation is assembled from. It is precise work, and a good deal of the firm's output passes through it. You will report to Jennifer Vasquez, our Consulting Actuary. She runs the valuation calendar, assigns the work, and is the person to bring a question to when a table or an assumption does not look right.</w:t>
      </w:r>
    </w:p>
    <w:p>
      <w:r>
        <w:t>To get you oriented in the first weeks:</w:t>
      </w:r>
    </w:p>
    <w:p>
      <w:pPr>
        <w:pStyle w:val="ListBullet"/>
      </w:pPr>
      <w:r>
        <w:t>Start by building a set of exhibits for a valuation already under way, and trace each figure in them back to the client file it came from. Knowing where a number originates matters more here than knowing how to format it.</w:t>
      </w:r>
    </w:p>
    <w:p>
      <w:pPr>
        <w:pStyle w:val="ListBullet"/>
      </w:pPr>
      <w:r>
        <w:t>Keep your notes literal. Write down what a file shows and what you relied on, and leave the interpretation to be settled with Jennifer. An associate is not expected to make the judgment call; you are expected to give whoever does an honest record to make it from.</w:t>
      </w:r>
    </w:p>
    <w:p>
      <w:pPr>
        <w:pStyle w:val="ListBullet"/>
      </w:pPr>
      <w:r>
        <w:t>When you are unsure whether the data supports a statement, say only what you can stand behind. Understating what you know is a smaller problem here than overstating it.</w:t>
      </w:r>
    </w:p>
    <w:p>
      <w:r>
        <w:t>It is worth knowing why we labor over the tables the way we do. The boards and funds we serve fund benefits that come due long after the valuation is filed, and they lean on our numbers to do it. An assumption set the evidence does not support is the kind of error that surfaces years later, when it is expensive to fix. That is why we would rather you flag a doubtful figure than smooth it. Come find me in your first week and we will walk a live valuation from end to end. We are glad to have you with us.</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Karen Harris</dc:title>
  <dc:subject/>
  <dc:creator>Robert Lawrence</dc:creator>
  <cp:keywords/>
  <dc:description>generated by python-docx</dc:description>
  <cp:lastModifiedBy>Robert Lawrence</cp:lastModifiedBy>
  <cp:revision>1</cp:revision>
  <dcterms:created xsi:type="dcterms:W3CDTF">2021-11-02T09:00:00Z</dcterms:created>
  <dcterms:modified xsi:type="dcterms:W3CDTF">2021-11-02T09:00:00Z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