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Mark Allen; David Rios</w:t>
        <w:br/>
        <w:t>Cc: Cynthia White</w:t>
        <w:br/>
        <w:t>From: Rachel Brown, Vice President</w:t>
        <w:br/>
        <w:t>Re: Armstrong, Silva and Dyer, sell-side kickoff</w:t>
      </w:r>
    </w:p>
    <w:p>
      <w:r>
        <w:t>The engagement letter came back countersigned, and our work for Armstrong, Silva and Dyer began on July 11, 2014. Here is the company as we understand it today. The owners are prepared to sell the whole business if the price and the buyer are right. They want the process kept quiet, which in practice means a short list and no talk among their own employees before the senior team has been told.</w:t>
      </w:r>
    </w:p>
    <w:p>
      <w:r>
        <w:t>Laura Gonzalez will be our day-to-day contact. She runs a tidy finance function: the monthly closes are timely and the historical statements are clean. The projections are another matter. They were built for the company's lender, not for a buyer, and they will need to be rebuilt from the bottom up before anyone outside the company sees them.</w:t>
      </w:r>
    </w:p>
    <w:p>
      <w:r>
        <w:t>Two questions will come early from any serious buyer, and we should have the answers first. One is customer concentration. Laura Gonzalez tells us the larger accounts are long-standing, and we need the contract terms and the revenue history that show it. The other is the owners themselves: a buyer will want to know who runs the business day to day once they step back, and that answer belongs in the memorandum, not in a diligence call.</w:t>
      </w:r>
    </w:p>
    <w:p>
      <w:r>
        <w:t>That shapes the approach. A buyer will price this company off the quality of its numbers before anything else, so the model comes first and the memorandum is written from the model, never alongside it. The scope we agreed is 145 prospective buyers, a mix of strategic and financial names. That is a deliberate list, not an auction, and it suits owners who want discretion. It also means every name has to earn its place, because adding parties late slows everyone else down.</w:t>
      </w:r>
    </w:p>
    <w:p>
      <w:r>
        <w:t>Confidentiality is part of the approach, not a courtesy. Anything that leaves this office before an NDA is signed describes the company by sector and revenue band and nothing more, and that includes our own emails. We have told the owners to expect the better part of a year from here to a closing, with preparation running through the end of the summer before a single call is made.</w:t>
      </w:r>
    </w:p>
    <w:p>
      <w:r>
        <w:t>Mark Allen leads with the owners and owns the calendar. I will take the model and the memorandum, and I will check every figure in the narrative against the model before it goes to Mark. David Rios builds the buyer screen and the first cut of the model. David, please bring your reasoning for each inclusion along with the names; Laura Gonzalez has asked to see why each party is there. Cynthia White has the three of us on the staffing grid for this mandate, and if the workload changes she should hear it from us first.</w:t>
      </w:r>
    </w:p>
    <w:p>
      <w:r>
        <w:t>The first two weeks, concretely. This week David sends Laura Gonzalez our information request list: historical statements, monthly results for the current year, customer concentration, and headcount by function. Mark and I meet the owners at the company late in the week to walk through the process and to hear, in their own words, what they want from a buyer. Next week I start the model from whatever has come back, David delivers a first draft of the buyer screen, and the three of us review it together before anything goes to the client.</w:t>
      </w:r>
    </w:p>
    <w:p>
      <w:r>
        <w:t>So the one thing I need today is the request list in draft from David by Wednesday, so that it reaches Laura Gonzalez before we sit down with the owners.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Sell-Side Advisory for Armstrong, Silva and Dyer</dc:title>
  <dc:subject/>
  <dc:creator>Rachel Brown</dc:creator>
  <cp:keywords/>
  <dc:description>generated by python-docx</dc:description>
  <cp:lastModifiedBy>Rachel Brown</cp:lastModifiedBy>
  <cp:revision>1</cp:revision>
  <dcterms:created xsi:type="dcterms:W3CDTF">2014-07-14T09:00:00Z</dcterms:created>
  <dcterms:modified xsi:type="dcterms:W3CDTF">2014-07-14T09:00:00Z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