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Sell-Side Advisory for Armstrong, Silva and Dyer</w:t>
      </w:r>
    </w:p>
    <w:p>
      <w:r>
        <w:t>Prepared for Laura Gonzalez, Chief Financial Officer, by Rachel Brown, Vice President, with Mark Allen, Partner.</w:t>
      </w:r>
    </w:p>
    <w:p>
      <w:pPr>
        <w:pStyle w:val="Heading2"/>
      </w:pPr>
      <w:r>
        <w:t>Where We Are Behind</w:t>
      </w:r>
    </w:p>
    <w:p>
      <w:r>
        <w:t>The non-disclosure stage closed later than our calendar allowed, and everything behind it has moved with it. Counsel for the strategic parties took several rounds over the agreement. The fallback language you approved in October settled the non-solicitation point. The standstill provision then took longer, and some parties chose not to sign at all. We underestimated how long their counsel would take, and that misjudgment is ours.</w:t>
      </w:r>
    </w:p>
    <w:p>
      <w:r>
        <w:t>The agreements now stand at 44 NDAs executed. The last of the signed parties received the memorandum only this week. If we kept to the original calendar, they would have far less time with it than the parties who signed first, and a buyer who feels rushed bids cautiously or not at all.</w:t>
      </w:r>
    </w:p>
    <w:p>
      <w:r>
        <w:t>We are doing three things about it. Mark Allen is calling each of the late signers to walk through the memorandum and answer their questions directly. We have held back the process letter, so no indication deadline has yet been fixed. And we are preparing a revised calendar for you that gives every signed party the same time with the memorandum before indications are due.</w:t>
      </w:r>
    </w:p>
    <w:p>
      <w:r>
        <w:t>The rest of the work is on track. The September close is in the memorandum, and every figure in its financial section now ties to the model. The data room is complete for the first round, and activity in it has been steady. The folders most visited are the monthly results and the customer summaries, which tells us where the questions will come from. The diligence questions so far are the ones we prepared you for.</w:t>
      </w:r>
    </w:p>
    <w:p>
      <w:pPr>
        <w:pStyle w:val="Heading2"/>
      </w:pPr>
      <w:r>
        <w:t>Two Matters to Watch</w:t>
      </w:r>
    </w:p>
    <w:p>
      <w:r>
        <w:t>Neither of these is off track, but you should see them now. The first is the October close, which your team is finishing now. Buyers will set it beside the projections in the memorandum, and any shortfall will come up in the first conversation after indications. If October lands below the projection, we would like to hear it from you before the buyers do, so that we can explain it in our own words.</w:t>
      </w:r>
    </w:p>
    <w:p>
      <w:r>
        <w:t>The second is customer concentration. Early questions from several parties have gone to the larger accounts, and the contract summaries you sent in September answer most of them. A short note on renewal history would answer the rest, and your controller could prepare it for the data room without much trouble.</w:t>
      </w:r>
    </w:p>
    <w:p>
      <w:pPr>
        <w:pStyle w:val="Heading2"/>
      </w:pPr>
      <w:r>
        <w:t>The Figures This Period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Position at this report</w:t>
            </w:r>
          </w:p>
        </w:tc>
        <w:tc>
          <w:tcPr>
            <w:tcW w:type="dxa" w:w="2880"/>
          </w:tcPr>
          <w:p>
            <w:r>
              <w:rPr>
                <w:b/>
              </w:rPr>
              <w:t>Note</w:t>
            </w:r>
          </w:p>
        </w:tc>
      </w:tr>
      <w:tr>
        <w:tc>
          <w:tcPr>
            <w:tcW w:type="dxa" w:w="2880"/>
          </w:tcPr>
          <w:p>
            <w:r>
              <w:t>Engagement scope</w:t>
            </w:r>
          </w:p>
        </w:tc>
        <w:tc>
          <w:tcPr>
            <w:tcW w:type="dxa" w:w="2880"/>
          </w:tcPr>
          <w:p>
            <w:r>
              <w:t>145 prospective buyers</w:t>
            </w:r>
          </w:p>
        </w:tc>
        <w:tc>
          <w:tcPr>
            <w:tcW w:type="dxa" w:w="2880"/>
          </w:tcPr>
          <w:p>
            <w:r>
              <w:t>As agreed in the engagement letter; unchanged</w:t>
            </w:r>
          </w:p>
        </w:tc>
      </w:tr>
      <w:tr>
        <w:tc>
          <w:tcPr>
            <w:tcW w:type="dxa" w:w="2880"/>
          </w:tcPr>
          <w:p>
            <w:r>
              <w:t>Valuation reference set</w:t>
            </w:r>
          </w:p>
        </w:tc>
        <w:tc>
          <w:tcPr>
            <w:tcW w:type="dxa" w:w="2880"/>
          </w:tcPr>
          <w:p>
            <w:r>
              <w:t>40 comparable transactions</w:t>
            </w:r>
          </w:p>
        </w:tc>
        <w:tc>
          <w:tcPr>
            <w:tcW w:type="dxa" w:w="2880"/>
          </w:tcPr>
          <w:p>
            <w:r>
              <w:t>Unchanged; we will refresh it if a relevant deal is announced before indications are due</w:t>
            </w:r>
          </w:p>
        </w:tc>
      </w:tr>
      <w:tr>
        <w:tc>
          <w:tcPr>
            <w:tcW w:type="dxa" w:w="2880"/>
          </w:tcPr>
          <w:p>
            <w:r>
              <w:t>Outreach</w:t>
            </w:r>
          </w:p>
        </w:tc>
        <w:tc>
          <w:tcPr>
            <w:tcW w:type="dxa" w:w="2880"/>
          </w:tcPr>
          <w:p>
            <w:r>
              <w:t>103 buyers contacted</w:t>
            </w:r>
          </w:p>
        </w:tc>
        <w:tc>
          <w:tcPr>
            <w:tcW w:type="dxa" w:w="2880"/>
          </w:tcPr>
          <w:p>
            <w:r>
              <w:t>Complete; every party had a call before the teaser</w:t>
            </w:r>
          </w:p>
        </w:tc>
      </w:tr>
      <w:tr>
        <w:tc>
          <w:tcPr>
            <w:tcW w:type="dxa" w:w="2880"/>
          </w:tcPr>
          <w:p>
            <w:r>
              <w:t>Non-disclosure agreements</w:t>
            </w:r>
          </w:p>
        </w:tc>
        <w:tc>
          <w:tcPr>
            <w:tcW w:type="dxa" w:w="2880"/>
          </w:tcPr>
          <w:p>
            <w:r>
              <w:t>44 NDAs executed</w:t>
            </w:r>
          </w:p>
        </w:tc>
        <w:tc>
          <w:tcPr>
            <w:tcW w:type="dxa" w:w="2880"/>
          </w:tcPr>
          <w:p>
            <w:r>
              <w:t>Stage closed; the memorandum went to each party on signature</w:t>
            </w:r>
          </w:p>
        </w:tc>
      </w:tr>
      <w:tr>
        <w:tc>
          <w:tcPr>
            <w:tcW w:type="dxa" w:w="2880"/>
          </w:tcPr>
          <w:p>
            <w:r>
              <w:t>Engagement fee</w:t>
            </w:r>
          </w:p>
        </w:tc>
        <w:tc>
          <w:tcPr>
            <w:tcW w:type="dxa" w:w="2880"/>
          </w:tcPr>
          <w:p>
            <w:r>
              <w:t>$55,000</w:t>
            </w:r>
          </w:p>
        </w:tc>
        <w:tc>
          <w:tcPr>
            <w:tcW w:type="dxa" w:w="2880"/>
          </w:tcPr>
          <w:p>
            <w:r>
              <w:t>As set out in the engagement letter; no change</w:t>
            </w:r>
          </w:p>
        </w:tc>
      </w:tr>
    </w:tbl>
    <w:p>
      <w:pPr>
        <w:pStyle w:val="Heading2"/>
      </w:pPr>
      <w:r>
        <w:t>What We Need From You Before Our Next Report</w:t>
      </w:r>
    </w:p>
    <w:p>
      <w:r>
        <w:t>Two decisions need the owners' answer before we write to you again. The first is the revised calendar. We recommend accepting it, even though it moves the indication deadline back. The parties that signed late include some of the strongest strategic names, and we would not want a deadline that leaves them short of time. We will send you the revised calendar on Monday, with the proposed deadline marked and our reasoning set out beneath it.</w:t>
      </w:r>
    </w:p>
    <w:p>
      <w:r>
        <w:t>The second is whether to allow a short call with management before indications are due. Several parties have asked for one. We recommend a single call for each party, with you and one member of the senior team, held to an agenda we will agree with you in advance. Nothing outside the memorandum would be discussed, and we would join every call. Site visits are a different matter, and we recommend keeping them for the second round.</w:t>
      </w:r>
    </w:p>
    <w:p>
      <w:r>
        <w:t>None of this changes our fee of $55,000, and our expenses remain within the categories set out in the engagement letter. If you can give us the owners' view on both points by the end of next week, Mark Allen will issue the process letter for indications the following Monday.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Sell-Side Advisory for Armstrong, Silva and Dyer</dc:title>
  <dc:subject/>
  <dc:creator>Rachel Brown</dc:creator>
  <cp:keywords/>
  <dc:description>generated by python-docx</dc:description>
  <cp:lastModifiedBy>Rachel Brown</cp:lastModifiedBy>
  <cp:revision>1</cp:revision>
  <dcterms:created xsi:type="dcterms:W3CDTF">2014-11-14T09:00:00Z</dcterms:created>
  <dcterms:modified xsi:type="dcterms:W3CDTF">2014-11-14T09:00:00Z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