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Sell-Side Advisory for Armstrong, Silva and Dyer</w:t>
      </w:r>
    </w:p>
    <w:p>
      <w:pPr>
        <w:pStyle w:val="Heading2"/>
      </w:pPr>
      <w:r>
        <w:t>Decisions Put to the Owners</w:t>
      </w:r>
    </w:p>
    <w:p>
      <w:r>
        <w:t>This report is for Laura Gonzalez and, through her, the owners. The process has narrowed to one party and one document, and most of what follows concerns that document. Since the indications review we have asked the owners for four decisions. Two are made. Two are still open, and both bear on the purchase agreement. We take each in turn and mark plainly where it stands.</w:t>
      </w:r>
    </w:p>
    <w:p>
      <w:r>
        <w:t>1. The preferred party. Final bids came in at the second-round deadline, 14 final bids in all, each with the committed financing letter the process letter asked for. The owners chose on the test Laura Gonzalez set at the indications review: certainty of closing first, price within the range second. Decided. We agreed with the choice then, and we still do.</w:t>
      </w:r>
    </w:p>
    <w:p>
      <w:r>
        <w:t>2. Exclusivity. The preferred party asked for a period of exclusive negotiation before committing its counsel and accountants to confirmatory work. We recommended a short period tied to a signing calendar, and the owners agreed. Decided. It also means the list of 145 prospective buyers the owners approved at the outset is now closed to new names. The other finalists have been told the process is paused, not ended, and Mark Allen spoke to each of them himself.</w:t>
      </w:r>
    </w:p>
    <w:p>
      <w:r>
        <w:t>3. The working capital target. The buyer's accountants have proposed a target built on a trailing average. We do not think it reflects the way working capital moves through your year, and we have asked to see their workings. Open. Recommendation: the owners hold their position until we have those workings in hand, and our reply goes to the buyer in writing, not on a call.</w:t>
      </w:r>
    </w:p>
    <w:p>
      <w:r>
        <w:t>4. The owners' role after closing. The buyer would like the owners to remain available for a transition period under a consulting arrangement. This is a personal decision as much as a commercial one, and we have not pressed it. Open. Recommendation: the owners tell us privately what they are prepared to offer, and we put it to the buyer together with the escrow terms, as one package.</w:t>
      </w:r>
    </w:p>
    <w:p>
      <w:pPr>
        <w:pStyle w:val="Heading2"/>
      </w:pPr>
      <w:r>
        <w:t>Done Since the Indications Review</w:t>
      </w:r>
    </w:p>
    <w:p>
      <w:pPr>
        <w:pStyle w:val="ListBullet"/>
      </w:pPr>
      <w:r>
        <w:t>Management presentations, held in one place over consecutive days as agreed, so that the presenters were away from the office for as short a time as we could manage.</w:t>
      </w:r>
    </w:p>
    <w:p>
      <w:pPr>
        <w:pStyle w:val="ListBullet"/>
      </w:pPr>
      <w:r>
        <w:t>Second-round diligence, answered in batches on the schedule sent to Laura Gonzalez. The finance team never had more than one batch open at a time, even through the year-end close.</w:t>
      </w:r>
    </w:p>
    <w:p>
      <w:pPr>
        <w:pStyle w:val="ListBullet"/>
      </w:pPr>
      <w:r>
        <w:t>Year-end figures, added to the presentation and to the data room once your team had closed the year. Every figure in both ties to the model.</w:t>
      </w:r>
    </w:p>
    <w:p>
      <w:pPr>
        <w:pStyle w:val="ListBullet"/>
      </w:pPr>
      <w:r>
        <w:t>The second-round process letter, issued by Mark Allen with company counsel's draft purchase agreement and the requirement for committed financing.</w:t>
      </w:r>
    </w:p>
    <w:p>
      <w:pPr>
        <w:pStyle w:val="ListBullet"/>
      </w:pPr>
      <w:r>
        <w:t>A reading of the final bids for the owners, each set against the valuation work in the memorandum and the 40 comparable transactions behind it, so that the offers could be weighed on the same footing.</w:t>
      </w:r>
    </w:p>
    <w:p>
      <w:pPr>
        <w:pStyle w:val="ListBullet"/>
      </w:pPr>
      <w:r>
        <w:t>The exclusivity letter with the preferred party, signed by the owners on our recommendation.</w:t>
      </w:r>
    </w:p>
    <w:p>
      <w:pPr>
        <w:pStyle w:val="ListBullet"/>
      </w:pPr>
      <w:r>
        <w:t>The marketing record, closed for the file: 103 buyers contacted, 44 NDAs executed, 26 indications received, and 14 final bids.</w:t>
      </w:r>
    </w:p>
    <w:p>
      <w:pPr>
        <w:pStyle w:val="Heading2"/>
      </w:pPr>
      <w:r>
        <w:t>Still in Hand</w:t>
      </w:r>
    </w:p>
    <w:p>
      <w:pPr>
        <w:pStyle w:val="ListBullet"/>
      </w:pPr>
      <w:r>
        <w:t>The purchase agreement. Company counsel and the buyer's counsel are exchanging turns of the draft. Beyond the two open decisions above, the points still under negotiation are the size of the escrow and the scope of the owners' representations.</w:t>
      </w:r>
    </w:p>
    <w:p>
      <w:pPr>
        <w:pStyle w:val="ListBullet"/>
      </w:pPr>
      <w:r>
        <w:t>Confirmatory diligence by the buyer's accountants, now concentrated on the most recent monthly results and the larger customer contracts. The questions so far are ones the first round already raised, and we expect no surprises from them.</w:t>
      </w:r>
    </w:p>
    <w:p>
      <w:pPr>
        <w:pStyle w:val="ListBullet"/>
      </w:pPr>
      <w:r>
        <w:t>The disclosure schedules, which your controller is preparing with company counsel. Rachel Brown is checking each schedule against the data room, so that nothing the buyer has already seen is missing from one.</w:t>
      </w:r>
    </w:p>
    <w:p>
      <w:pPr>
        <w:pStyle w:val="ListBullet"/>
      </w:pPr>
      <w:r>
        <w:t>The buyer's financing. We are confirming that its lenders' commitment stands unchanged by anything the confirmatory work has turned up.</w:t>
      </w:r>
    </w:p>
    <w:p>
      <w:pPr>
        <w:pStyle w:val="ListBullet"/>
      </w:pPr>
      <w:r>
        <w:t>Announcements to employees and to the larger customers, which Mark Allen is drafting with the owners for use on the day of signing.</w:t>
      </w:r>
    </w:p>
    <w:p>
      <w:pPr>
        <w:pStyle w:val="ListBullet"/>
      </w:pPr>
      <w:r>
        <w:t>Letters to the other finalists, drafted and held until signing, so that no party is released before the agreement binds.</w:t>
      </w:r>
    </w:p>
    <w:p>
      <w:pPr>
        <w:pStyle w:val="Heading2"/>
      </w:pPr>
      <w:r>
        <w:t>What the Coming Period Turns On</w:t>
      </w:r>
    </w:p>
    <w:p>
      <w:r>
        <w:t>Nearly everything now runs through the purchase agreement. If the owners settle the working capital target and their own role after closing, we see no obstacle on our side to an agreement ready for signature in the coming period. The financing, the confirmatory diligence and the disclosure schedules all feed that one document, and none of them is behind. Our fee of $55,000 is unchanged from the engagement letter, and expenses remain within the categories it sets out. We will send a final statement of expenses with the closing papers. What we need next is the owners' answer on the two open decisions. Mark Allen would like a short call with you and the owners early next week to take them in turn, and we will send proposed times on Monday.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Sell-Side Advisory for Armstrong, Silva and Dyer</dc:title>
  <dc:subject/>
  <dc:creator>Rachel Brown</dc:creator>
  <cp:keywords/>
  <dc:description>generated by python-docx</dc:description>
  <cp:lastModifiedBy>Rachel Brown</cp:lastModifiedBy>
  <cp:revision>1</cp:revision>
  <dcterms:created xsi:type="dcterms:W3CDTF">2015-03-14T09:00:00Z</dcterms:created>
  <dcterms:modified xsi:type="dcterms:W3CDTF">2015-03-14T09:00:00Z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