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Armstrong, Silva and Dyer</w:t>
      </w:r>
    </w:p>
    <w:p>
      <w:pPr>
        <w:pStyle w:val="Heading2"/>
      </w:pPr>
      <w:r>
        <w:t>Present</w:t>
      </w:r>
    </w:p>
    <w:p>
      <w:pPr>
        <w:pStyle w:val="ListBullet"/>
      </w:pPr>
      <w:r>
        <w:t>Laura Gonzalez, Chief Financial Officer, Armstrong, Silva and Dyer</w:t>
      </w:r>
    </w:p>
    <w:p>
      <w:pPr>
        <w:pStyle w:val="ListBullet"/>
      </w:pPr>
      <w:r>
        <w:t>Mark Allen, Partner</w:t>
      </w:r>
    </w:p>
    <w:p>
      <w:pPr>
        <w:pStyle w:val="ListBullet"/>
      </w:pPr>
      <w:r>
        <w:t>Rachel Brown, Vice President</w:t>
      </w:r>
    </w:p>
    <w:p>
      <w:pPr>
        <w:pStyle w:val="Heading2"/>
      </w:pPr>
      <w:r>
        <w:t>Summary of Discussion</w:t>
      </w:r>
    </w:p>
    <w:p>
      <w:r>
        <w:t>Outreach is complete. The tracker closes at 103 buyers contacted. Each party had a call before the teaser went out. Response from the strategic parties has been prompt; the financial sponsors are slower, which is usual before they have seen numbers. Mark Allen took the group through the responses party by party. The calendar holds: each party receives the memorandum on signing its NDA, and the process letter calling for indications follows once the NDA stage closes.</w:t>
      </w:r>
    </w:p>
    <w:p>
      <w:r>
        <w:t>Some of the sponsors have asked whether the owners would sell a majority stake and keep the rest. Laura Gonzalez said the owners' position is unchanged: a sale of the whole business. Mark Allen will say so plainly in his follow-up calls this week. Requests for time with management before indications will be declined until the owners decide otherwise.</w:t>
      </w:r>
    </w:p>
    <w:p>
      <w:r>
        <w:t>The non-disclosure agreement was the main item. Counsel for several strategic parties have asked to narrow the employee non-solicitation clause. Laura Gonzalez confirmed that the owners will not release key employees from it. The group agreed a fallback: a shorter non-solicitation term for strategic parties, with no carve-out for named senior managers. Mark Allen will send the fallback language to company counsel.</w:t>
      </w:r>
    </w:p>
    <w:p>
      <w:r>
        <w:t>Rachel Brown raised the memorandum. Its financial section still carries figures through the summer. The September close is complete on the company's side, and Laura Gonzalez will send it this week. Rachel Brown will update the section and tie each figure back to the model. No memorandum is released until that is done.</w:t>
      </w:r>
    </w:p>
    <w:p>
      <w:r>
        <w:t>The data room is ready for the first round. Rachel Brown confirmed that the first-round folders hold the memorandum, the historical statements, and the monthly results. Customer contracts stay out until the second round. Laura Gonzalez agreed.</w:t>
      </w:r>
    </w:p>
    <w:p>
      <w:r>
        <w:t>Confidentiality inside the company was the last item. Only the senior team knows of the process. Laura Gonzalez asked whether the controller should be told, since data room uploads will soon need more hands. Agreed: yes, under a written confidentiality acknowledgment, and no one else for now.</w:t>
      </w:r>
    </w:p>
    <w:p>
      <w:r>
        <w:t>Rachel Brown will draft the process letter for indications now, so that it is ready when the NDA stage closes. It will ask each party for a value range, the form of consideration, its sources of financing, the diligence it still needs, and any approvals its own board requires. The next working session follows the close of the NDA stage and will fix the indication deadline.</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t>Send the September close and updated year-to-date figures</w:t>
            </w:r>
          </w:p>
        </w:tc>
        <w:tc>
          <w:tcPr>
            <w:tcW w:type="dxa" w:w="2880"/>
          </w:tcPr>
          <w:p>
            <w:r>
              <w:t>Laura Gonzalez</w:t>
            </w:r>
          </w:p>
        </w:tc>
        <w:tc>
          <w:tcPr>
            <w:tcW w:type="dxa" w:w="2880"/>
          </w:tcPr>
          <w:p>
            <w:r>
              <w:t>End of this week</w:t>
            </w:r>
          </w:p>
        </w:tc>
      </w:tr>
      <w:tr>
        <w:tc>
          <w:tcPr>
            <w:tcW w:type="dxa" w:w="2880"/>
          </w:tcPr>
          <w:p>
            <w:r>
              <w:t>Send the fallback non-solicitation language to company counsel</w:t>
            </w:r>
          </w:p>
        </w:tc>
        <w:tc>
          <w:tcPr>
            <w:tcW w:type="dxa" w:w="2880"/>
          </w:tcPr>
          <w:p>
            <w:r>
              <w:t>Mark Allen</w:t>
            </w:r>
          </w:p>
        </w:tc>
        <w:tc>
          <w:tcPr>
            <w:tcW w:type="dxa" w:w="2880"/>
          </w:tcPr>
          <w:p>
            <w:r>
              <w:t>Tomorrow</w:t>
            </w:r>
          </w:p>
        </w:tc>
      </w:tr>
      <w:tr>
        <w:tc>
          <w:tcPr>
            <w:tcW w:type="dxa" w:w="2880"/>
          </w:tcPr>
          <w:p>
            <w:r>
              <w:t>Update the memorandum's financial section and tie each figure to the model</w:t>
            </w:r>
          </w:p>
        </w:tc>
        <w:tc>
          <w:tcPr>
            <w:tcW w:type="dxa" w:w="2880"/>
          </w:tcPr>
          <w:p>
            <w:r>
              <w:t>Rachel Brown</w:t>
            </w:r>
          </w:p>
        </w:tc>
        <w:tc>
          <w:tcPr>
            <w:tcW w:type="dxa" w:w="2880"/>
          </w:tcPr>
          <w:p>
            <w:r>
              <w:t>Before the memorandum is first released</w:t>
            </w:r>
          </w:p>
        </w:tc>
      </w:tr>
      <w:tr>
        <w:tc>
          <w:tcPr>
            <w:tcW w:type="dxa" w:w="2880"/>
          </w:tcPr>
          <w:p>
            <w:r>
              <w:t>Brief the controller and obtain a signed confidentiality acknowledgment</w:t>
            </w:r>
          </w:p>
        </w:tc>
        <w:tc>
          <w:tcPr>
            <w:tcW w:type="dxa" w:w="2880"/>
          </w:tcPr>
          <w:p>
            <w:r>
              <w:t>Laura Gonzalez</w:t>
            </w:r>
          </w:p>
        </w:tc>
        <w:tc>
          <w:tcPr>
            <w:tcW w:type="dxa" w:w="2880"/>
          </w:tcPr>
          <w:p>
            <w:r>
              <w:t>Before the next data room uploads</w:t>
            </w:r>
          </w:p>
        </w:tc>
      </w:tr>
      <w:tr>
        <w:tc>
          <w:tcPr>
            <w:tcW w:type="dxa" w:w="2880"/>
          </w:tcPr>
          <w:p>
            <w:r>
              <w:t>Follow up with the slower sponsors on the whole-business position</w:t>
            </w:r>
          </w:p>
        </w:tc>
        <w:tc>
          <w:tcPr>
            <w:tcW w:type="dxa" w:w="2880"/>
          </w:tcPr>
          <w:p>
            <w:r>
              <w:t>Mark Allen</w:t>
            </w:r>
          </w:p>
        </w:tc>
        <w:tc>
          <w:tcPr>
            <w:tcW w:type="dxa" w:w="2880"/>
          </w:tcPr>
          <w:p>
            <w:r>
              <w:t>This week</w:t>
            </w:r>
          </w:p>
        </w:tc>
      </w:tr>
      <w:tr>
        <w:tc>
          <w:tcPr>
            <w:tcW w:type="dxa" w:w="2880"/>
          </w:tcPr>
          <w:p>
            <w:r>
              <w:t>Draft the process letter for indications</w:t>
            </w:r>
          </w:p>
        </w:tc>
        <w:tc>
          <w:tcPr>
            <w:tcW w:type="dxa" w:w="2880"/>
          </w:tcPr>
          <w:p>
            <w:r>
              <w:t>Rachel Brown</w:t>
            </w:r>
          </w:p>
        </w:tc>
        <w:tc>
          <w:tcPr>
            <w:tcW w:type="dxa" w:w="2880"/>
          </w:tcPr>
          <w:p>
            <w:r>
              <w:t>Before the NDA stage closes</w:t>
            </w:r>
          </w:p>
        </w:tc>
      </w:tr>
      <w:tr>
        <w:tc>
          <w:tcPr>
            <w:tcW w:type="dxa" w:w="2880"/>
          </w:tcPr>
          <w:p>
            <w:r>
              <w:t>Circulate the outreach and NDA tracker</w:t>
            </w:r>
          </w:p>
        </w:tc>
        <w:tc>
          <w:tcPr>
            <w:tcW w:type="dxa" w:w="2880"/>
          </w:tcPr>
          <w:p>
            <w:r>
              <w:t>Rachel Brown</w:t>
            </w:r>
          </w:p>
        </w:tc>
        <w:tc>
          <w:tcPr>
            <w:tcW w:type="dxa" w:w="2880"/>
          </w:tcPr>
          <w:p>
            <w:r>
              <w:t>Every Friday</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Sell-Side Advisory for Armstrong, Silva and Dyer</dc:title>
  <dc:subject/>
  <dc:creator>Mark Allen</dc:creator>
  <cp:keywords/>
  <dc:description>generated by python-docx</dc:description>
  <cp:lastModifiedBy>Mark Allen</cp:lastModifiedBy>
  <cp:revision>1</cp:revision>
  <dcterms:created xsi:type="dcterms:W3CDTF">2014-10-20T09:00:00Z</dcterms:created>
  <dcterms:modified xsi:type="dcterms:W3CDTF">2014-10-20T09:00:00Z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