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Indications Review: Armstrong, Silva and Dyer</w:t>
      </w:r>
    </w:p>
    <w:p>
      <w:pPr>
        <w:pStyle w:val="Heading2"/>
      </w:pPr>
      <w:r>
        <w:t>Attendance</w:t>
      </w:r>
    </w:p>
    <w:p>
      <w:pPr>
        <w:pStyle w:val="ListBullet"/>
      </w:pPr>
      <w:r>
        <w:t>Mark Allen, Partner</w:t>
      </w:r>
    </w:p>
    <w:p>
      <w:pPr>
        <w:pStyle w:val="ListBullet"/>
      </w:pPr>
      <w:r>
        <w:t>Rachel Brown, Vice President</w:t>
      </w:r>
    </w:p>
    <w:p>
      <w:pPr>
        <w:pStyle w:val="ListBullet"/>
      </w:pPr>
      <w:r>
        <w:t>Laura Gonzalez, Chief Financial Officer, Armstrong, Silva and Dyer</w:t>
      </w:r>
    </w:p>
    <w:p>
      <w:pPr>
        <w:pStyle w:val="Heading2"/>
      </w:pPr>
      <w:r>
        <w:t>Decisions</w:t>
      </w:r>
    </w:p>
    <w:p>
      <w:r>
        <w:t>The session took three decisions. Every party whose indication fell within the range the owners set before the first round closed goes forward to the second round, with management presentations and full data room access. The parties below the range will be declined this week, courteously and without detail, and told the company may return to them. The final bid deadline will be fixed in the second-round process letter once the presentations are scheduled, and not before.</w:t>
      </w:r>
    </w:p>
    <w:p>
      <w:pPr>
        <w:pStyle w:val="Heading2"/>
      </w:pPr>
      <w:r>
        <w:t>Discussion</w:t>
      </w:r>
    </w:p>
    <w:p>
      <w:r>
        <w:t>Mark Allen recapped the first round for the record: 103 buyers contacted across the autumn, 44 NDAs executed, and 26 indications received at the first-round deadline. The indications differed more in structure than in headline value. That shaped the rest of the discussion.</w:t>
      </w:r>
    </w:p>
    <w:p>
      <w:r>
        <w:t>Rachel Brown walked through the structures. Some parties proposed cash at closing. Others asked the owners to roll part of their equity or to accept an earn-out tied to future results. Laura Gonzalez said the owners will weigh certainty of closing above price within the range, and asked that each final bid state its financing plainly. Mark Allen agreed. The process letter will require committed financing letters with final bids.</w:t>
      </w:r>
    </w:p>
    <w:p>
      <w:r>
        <w:t>Laura Gonzalez then raised the load on her team. Management presentations and second-round diligence will fall in the same weeks as the year-end close. Rachel Brown will sequence the diligence requests so the finance team answers them in batches, not one at a time. The presentations will be held in one place over consecutive days to keep management away from the office for as short a time as possible.</w:t>
      </w:r>
    </w:p>
    <w:p>
      <w:r>
        <w:t>The group discussed how much to tell each party about where it stands. Mark Allen recommended saying nothing beyond the invitation itself, since a party that believes it leads tends to stop improving its offer. Laura Gonzalez agreed, and asked that the decline notes give no reason beyond the range.</w:t>
      </w:r>
    </w:p>
    <w:p>
      <w:r>
        <w:t>Laura Gonzalez asked whether any party below the range could be brought up. Mark Allen said a low indication usually means one of two things: the party misread the business, or it read the business correctly and priced it for itself. The first sometimes moves after a call. The second does not. Mark Allen will call each party of the first kind himself when its decline goes out, so that it understands the company may return to it.</w:t>
      </w:r>
    </w:p>
    <w:p>
      <w:r>
        <w:t>Rachel Brown will build the management presentation from the memorandum, updated for the year-end figures once they are available, and will rehearse it with the presenters beforehand. The presentation will carry no projection that is not in the model. The next session will be held once the presentation dates are confirmed.</w:t>
      </w:r>
    </w:p>
    <w:p>
      <w:pPr>
        <w:pStyle w:val="Heading2"/>
      </w:pPr>
      <w:r>
        <w:t>Actions</w:t>
      </w:r>
    </w:p>
    <w:p>
      <w:pPr>
        <w:pStyle w:val="ListBullet"/>
      </w:pPr>
      <w:r>
        <w:t>Mark Allen: call each second-round party to confirm the invitation and offer presentation times.</w:t>
      </w:r>
    </w:p>
    <w:p>
      <w:pPr>
        <w:pStyle w:val="ListBullet"/>
      </w:pPr>
      <w:r>
        <w:t>Mark Allen: draft the second-round process letter, including the requirement for committed financing, for Laura Gonzalez to review.</w:t>
      </w:r>
    </w:p>
    <w:p>
      <w:pPr>
        <w:pStyle w:val="ListBullet"/>
      </w:pPr>
      <w:r>
        <w:t>Rachel Brown: draft the decline notes for parties below the range, for Mark Allen's review before they go out this week.</w:t>
      </w:r>
    </w:p>
    <w:p>
      <w:pPr>
        <w:pStyle w:val="ListBullet"/>
      </w:pPr>
      <w:r>
        <w:t>Rachel Brown: open the second-round folders in the data room and send Laura Gonzalez the batched diligence schedule.</w:t>
      </w:r>
    </w:p>
    <w:p>
      <w:pPr>
        <w:pStyle w:val="ListBullet"/>
      </w:pPr>
      <w:r>
        <w:t>Rachel Brown: draft the management presentation and set a rehearsal with the presenters.</w:t>
      </w:r>
    </w:p>
    <w:p>
      <w:pPr>
        <w:pStyle w:val="ListBullet"/>
      </w:pPr>
      <w:r>
        <w:t>Laura Gonzalez: confirm which members of management will present, and ask company counsel for the draft purchase agreement to go out with the process letter.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Sell-Side Advisory for Armstrong, Silva and Dyer</dc:title>
  <dc:subject/>
  <dc:creator>Mark Allen</dc:creator>
  <cp:keywords/>
  <dc:description>generated by python-docx</dc:description>
  <cp:lastModifiedBy>Mark Allen</cp:lastModifiedBy>
  <cp:revision>1</cp:revision>
  <dcterms:created xsi:type="dcterms:W3CDTF">2015-01-19T09:00:00Z</dcterms:created>
  <dcterms:modified xsi:type="dcterms:W3CDTF">2015-01-19T09:00:00Z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