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Workstream</w:t>
            </w:r>
          </w:p>
        </w:tc>
        <w:tc>
          <w:tcPr>
            <w:tcW w:type="dxa" w:w="2160"/>
          </w:tcPr>
          <w:p>
            <w:r>
              <w:rPr>
                <w:b/>
              </w:rPr>
              <w:t>Owner</w:t>
            </w:r>
          </w:p>
        </w:tc>
        <w:tc>
          <w:tcPr>
            <w:tcW w:type="dxa" w:w="2160"/>
          </w:tcPr>
          <w:p>
            <w:r>
              <w:rPr>
                <w:b/>
              </w:rPr>
              <w:t>Works with</w:t>
            </w:r>
          </w:p>
        </w:tc>
        <w:tc>
          <w:tcPr>
            <w:tcW w:type="dxa" w:w="2160"/>
          </w:tcPr>
          <w:p>
            <w:r>
              <w:rPr>
                <w:b/>
              </w:rPr>
              <w:t>Cannot start until</w:t>
            </w:r>
          </w:p>
        </w:tc>
      </w:tr>
      <w:tr>
        <w:tc>
          <w:tcPr>
            <w:tcW w:type="dxa" w:w="2160"/>
          </w:tcPr>
          <w:p>
            <w:r>
              <w:t>Financial model and valuation view, set against precedent growth financings</w:t>
            </w:r>
          </w:p>
        </w:tc>
        <w:tc>
          <w:tcPr>
            <w:tcW w:type="dxa" w:w="2160"/>
          </w:tcPr>
          <w:p>
            <w:r>
              <w:t>Justin Gonzalez</w:t>
            </w:r>
          </w:p>
        </w:tc>
        <w:tc>
          <w:tcPr>
            <w:tcW w:type="dxa" w:w="2160"/>
          </w:tcPr>
          <w:p>
            <w:r>
              <w:t>Sandra Waters, for monthly results and management's plan</w:t>
            </w:r>
          </w:p>
        </w:tc>
        <w:tc>
          <w:tcPr>
            <w:tcW w:type="dxa" w:w="2160"/>
          </w:tcPr>
          <w:p>
            <w:r>
              <w:t>The information request is answered</w:t>
            </w:r>
          </w:p>
        </w:tc>
      </w:tr>
      <w:tr>
        <w:tc>
          <w:tcPr>
            <w:tcW w:type="dxa" w:w="2160"/>
          </w:tcPr>
          <w:p>
            <w:r>
              <w:t>Investor list and contact log</w:t>
            </w:r>
          </w:p>
        </w:tc>
        <w:tc>
          <w:tcPr>
            <w:tcW w:type="dxa" w:w="2160"/>
          </w:tcPr>
          <w:p>
            <w:r>
              <w:t>Kelly Brown</w:t>
            </w:r>
          </w:p>
        </w:tc>
        <w:tc>
          <w:tcPr>
            <w:tcW w:type="dxa" w:w="2160"/>
          </w:tcPr>
          <w:p>
            <w:r>
              <w:t>Richard Mccoy, on fit and on the order of calls</w:t>
            </w:r>
          </w:p>
        </w:tc>
        <w:tc>
          <w:tcPr>
            <w:tcW w:type="dxa" w:w="2160"/>
          </w:tcPr>
          <w:p>
            <w:r>
              <w:t>The positioning is agreed</w:t>
            </w:r>
          </w:p>
        </w:tc>
      </w:tr>
      <w:tr>
        <w:tc>
          <w:tcPr>
            <w:tcW w:type="dxa" w:w="2160"/>
          </w:tcPr>
          <w:p>
            <w:r>
              <w:t>Anonymous summary and confidential presentation</w:t>
            </w:r>
          </w:p>
        </w:tc>
        <w:tc>
          <w:tcPr>
            <w:tcW w:type="dxa" w:w="2160"/>
          </w:tcPr>
          <w:p>
            <w:r>
              <w:t>Richard Mccoy (narrative); Kimberly Harris (drafting)</w:t>
            </w:r>
          </w:p>
        </w:tc>
        <w:tc>
          <w:tcPr>
            <w:tcW w:type="dxa" w:w="2160"/>
          </w:tcPr>
          <w:p>
            <w:r>
              <w:t>Justin Gonzalez, for the financial pages</w:t>
            </w:r>
          </w:p>
        </w:tc>
        <w:tc>
          <w:tcPr>
            <w:tcW w:type="dxa" w:w="2160"/>
          </w:tcPr>
          <w:p>
            <w:r>
              <w:t>The model ties to the July close</w:t>
            </w:r>
          </w:p>
        </w:tc>
      </w:tr>
      <w:tr>
        <w:tc>
          <w:tcPr>
            <w:tcW w:type="dxa" w:w="2160"/>
          </w:tcPr>
          <w:p>
            <w:r>
              <w:t>Information request and data room</w:t>
            </w:r>
          </w:p>
        </w:tc>
        <w:tc>
          <w:tcPr>
            <w:tcW w:type="dxa" w:w="2160"/>
          </w:tcPr>
          <w:p>
            <w:r>
              <w:t>Kimberly Harris</w:t>
            </w:r>
          </w:p>
        </w:tc>
        <w:tc>
          <w:tcPr>
            <w:tcW w:type="dxa" w:w="2160"/>
          </w:tcPr>
          <w:p>
            <w:r>
              <w:t>Sandra Waters and her finance team</w:t>
            </w:r>
          </w:p>
        </w:tc>
        <w:tc>
          <w:tcPr>
            <w:tcW w:type="dxa" w:w="2160"/>
          </w:tcPr>
          <w:p>
            <w:r>
              <w:t>Nothing; it starts this week</w:t>
            </w:r>
          </w:p>
        </w:tc>
      </w:tr>
      <w:tr>
        <w:tc>
          <w:tcPr>
            <w:tcW w:type="dxa" w:w="2160"/>
          </w:tcPr>
          <w:p>
            <w:r>
              <w:t>Investor conversations and process calendar</w:t>
            </w:r>
          </w:p>
        </w:tc>
        <w:tc>
          <w:tcPr>
            <w:tcW w:type="dxa" w:w="2160"/>
          </w:tcPr>
          <w:p>
            <w:r>
              <w:t>Richard Mccoy</w:t>
            </w:r>
          </w:p>
        </w:tc>
        <w:tc>
          <w:tcPr>
            <w:tcW w:type="dxa" w:w="2160"/>
          </w:tcPr>
          <w:p>
            <w:r>
              <w:t>Sandra Waters and the shareholders</w:t>
            </w:r>
          </w:p>
        </w:tc>
        <w:tc>
          <w:tcPr>
            <w:tcW w:type="dxa" w:w="2160"/>
          </w:tcPr>
          <w:p>
            <w:r>
              <w:t>The company has approved both the list and the presentation</w:t>
            </w:r>
          </w:p>
        </w:tc>
      </w:tr>
    </w:tbl>
    <w:p>
      <w:r>
        <w:t>Five workstreams, four owners on our side, one counterpart at the company. The engagement opened on August 5, 2022, and this note records how the work for Beck, Martin and Dawson is divided. It is written for Richard Mccoy, Justin Gonzalez and Kimberly Harris. Sandra Waters is our single counterpart at the company, and requests to her team go through Kimberly Harris.</w:t>
      </w:r>
    </w:p>
    <w:p>
      <w:r>
        <w:t>The split follows the order in which an investor will test the company. (1) The numbers come first. The model and the valuation view sit with one person, Justin Gonzalez, and every figure in the presentation will be taken from his model and from nowhere else. (2) The list and the log sit with me. There will be one record of who was approached, when, by whom, and with what answer. The engagement letter scopes the list at 80 prospective investors, and I will build to that unless Richard Mccoy tells me otherwise after the first review. (3) Kimberly Harris takes the information request and the data room together. Both draw on the same documents from the finance team, and one person asking for them means fewer requests landing on Sandra Waters. (4) Richard Mccoy keeps the investor conversations, so that every investor hears one voice from us. (5) The presentation is split between narrative and drafting. Richard Mccoy decides what the company says about itself; Kimberly Harris turns that into pages and keeps the version history.</w:t>
      </w:r>
    </w:p>
    <w:p>
      <w:r>
        <w:t>One dependency governs the order of everything else. No investor is contacted until two conditions hold: (a) the model ties to the July close and Richard Mccoy has signed off the valuation view; and (b) Sandra Waters has approved every name on the list on behalf of the company. The presentation cannot be finished before (a), because its financial pages come from the model. The list cannot be finished before the positioning is agreed, because which investors fit depends on what the company is raising money to do. The information request has nothing upstream of it. That is why it goes out first. If it comes back late, every other workstream moves by the same number of days.</w:t>
      </w:r>
    </w:p>
    <w:p>
      <w:r>
        <w:t>Confidentiality applies from today, not from first calls. Until the list is approved, nothing leaves this office with the company's name on it. The anonymous summary describes the business by sector and revenue band only. Internal files use the client name, but drafts sent outside the team, including to the company's own advisers, go through Richard Mccoy first. The contact log will record the date each confidentiality agreement is signed, and the confidential presentation goes to no investor without one.</w:t>
      </w:r>
    </w:p>
    <w:p>
      <w:r>
        <w:t>The information request goes to Sandra Waters on Wednesday, so three points need settling before then. (1) Richard, should family offices be called in the first round, or held for a second? (2) Justin, how far back do you want the monthly results to go? (3) Kimberly, should the data room open alongside the confidential presentation, or only after first calls? Answers by Tuesday evening, in writing if possible, so that I can fold them into the request.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Growth Capital Raise for Beck, Martin and Dawson</dc:title>
  <dc:subject/>
  <dc:creator>Kelly Brown</dc:creator>
  <cp:keywords/>
  <dc:description>generated by python-docx</dc:description>
  <cp:lastModifiedBy>Kelly Brown</cp:lastModifiedBy>
  <cp:revision>1</cp:revision>
  <dcterms:created xsi:type="dcterms:W3CDTF">2022-08-08T09:00:00Z</dcterms:created>
  <dcterms:modified xsi:type="dcterms:W3CDTF">2022-08-08T09:00:00Z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