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Beck, Martin and Dawson: Growth Capital Raise, Status in the Middle of October</w:t>
      </w:r>
    </w:p>
    <w:p>
      <w:r>
        <w:t>To Sandra Waters, Chief Financial Officer. From Kelly Brown, Analyst, Advisory, with Richard Mccoy, Partner. For the company, its shareholders and its counsel only.</w:t>
      </w:r>
    </w:p>
    <w:p>
      <w:r>
        <w:t>This period runs from our working session at the end of September to the date of this report. On the Tuesday after the session I sent you the draft meeting calendar. Your team returned the quarter-close dates the same week. With those dates in hand, Richard Mccoy and I set the management meetings on two days a week in the second half of October, clear of the close and all in person, as the shareholders asked. Your finance team then filled the two folders that were thin at the session, the customer contracts and the lease schedule. I checked the data room index against both folders, document by document, and found nothing missing. Access then opened to the investors that had signed a confidentiality agreement and asked to go further. Justin Gonzalez finished the customer concentration page in the first week of October. It draws only on contracts now in the data room, so an investor can trace every line of it. Richard reviewed it, and it went into the confidential presentation the next day. Over the same weeks Richard made a second call to each investor that had read the presentation. Those calls turned on the three questions from September: what the capital is for, who runs the company afterward, and how much of the business rests on its largest customers. The new page shortened the third conversation, though investors still raised it on most calls. A few investors declined after reading the presentation. They cited size or a portfolio company too close to this one, and none raised a concern about the business itself. Following Richard's advice at the session, we have not called any of them back. You took the governance question to the shareholders after the session. Their written position on board representation and consent rights has not yet reached us. The period closes with the data room open and the first management meeting set for the coming week.</w:t>
      </w:r>
    </w:p>
    <w:p>
      <w:r>
        <w:t>The figures below are separate measures, and I give each on its own terms. (1) The approved investor list stands at 80 prospective investors. Nothing has been added to it or taken from it since you approved it name by name. (2) The contact log closed the first round at 31 investors approached. That figure has not moved this period, because we placed no new first calls. I would treat it as final unless you and the shareholders decide to open a second round, and I would not advise that before the meetings are done. (3) The second stage opened during the past week with 12 investors in diligence. Each has signed its confidentiality agreement, holds the confidential presentation, and has a place on the meeting calendar and a login to the data room. (4) The valuation view still rests on 12 precedent raises, the set Justin Gonzalez assembled before outreach began. He has not changed it. He will look at it again only once the September results are in the model. (5) The fee is fixed at $71,500 for the engagement as a whole, as the engagement letter provides, and nothing this period changes it. Expenses to date are small. They will rise with travel to the meetings, and I will ask your approval before any single item outside the ordinary course.</w:t>
      </w:r>
    </w:p>
    <w:p>
      <w:r>
        <w:t>From here the work runs in two steps. The management meetings take the rest of October. Investors then complete their diligence in November, and term sheets come as it closes. Richard Mccoy is planning for 4 term sheets received by that point. In his judgment that is enough to give the shareholders a real choice of terms without drawing the process out. The plan rests on five assumptions. (1) The meetings hold to the days we set, and the quarter close displaces none of them. (2) The shareholders' written position on governance reaches us before the first meeting, because every investor will raise it in the room. (3) The September quarter closes in line with the plan in the model. Justin will set the actuals beside the plan as soon as your team releases them, and each investor will make the same comparison. (4) The customer concentration page holds up in the meetings, so that no investor asks to speak with a customer before committing further work. (5) Investors keep roughly their present pace. Rates have risen quickly this year, and several funds have told Richard that their investment committees are taking longer to approve new positions than they did a year ago. The calendar already allows for that. If the second assumption slips, the meetings can still go ahead, but I would expect fewer investors to stay through diligence. If the fourth fails, November will need more time than it now has.</w:t>
      </w:r>
    </w:p>
    <w:p>
      <w:r>
        <w:t>Three items sit with the company before the first meeting, so I set them out here. (1) Can the shareholders' governance position reach us in writing before the first meeting? (2) Can your team send the September results as soon as the quarter is closed, even in draft? (3) If an investor asks to call a customer, is there any customer the company would allow it to approach, and on what terms? Richard Mccoy will telephone you on Monday to take you through the order of the meetings. Justin and I will attend each one. The next report will follow the last of the October meetings.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Growth Capital Raise for Beck, Martin and Dawson</dc:title>
  <dc:subject/>
  <dc:creator>Kelly Brown</dc:creator>
  <cp:keywords/>
  <dc:description>generated by python-docx</dc:description>
  <cp:lastModifiedBy>Kelly Brown</cp:lastModifiedBy>
  <cp:revision>1</cp:revision>
  <dcterms:created xsi:type="dcterms:W3CDTF">2022-10-16T09:00:00Z</dcterms:created>
  <dcterms:modified xsi:type="dcterms:W3CDTF">2022-10-16T09:00:00Z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