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Outreach Review: Beck, Martin and Dawson Growth Capital Raise</w:t>
      </w:r>
    </w:p>
    <w:p>
      <w:pPr>
        <w:pStyle w:val="ListBullet"/>
      </w:pPr>
      <w:r>
        <w:t>Sandra Waters, Chief Financial Officer, Beck, Martin and Dawson</w:t>
      </w:r>
    </w:p>
    <w:p>
      <w:pPr>
        <w:pStyle w:val="ListBullet"/>
      </w:pPr>
      <w:r>
        <w:t>Richard Mccoy, Partner, Quillon Harbor Advisors</w:t>
      </w:r>
    </w:p>
    <w:p>
      <w:pPr>
        <w:pStyle w:val="ListBullet"/>
      </w:pPr>
      <w:r>
        <w:t>Kelly Brown, Analyst, Quillon Harbor Advisors</w:t>
      </w:r>
    </w:p>
    <w:p>
      <w:pPr>
        <w:pStyle w:val="ListBullet"/>
      </w:pPr>
      <w:r>
        <w:t>Justin Gonzalez, Analyst, Quillon Harbor Advisors</w:t>
      </w:r>
    </w:p>
    <w:p>
      <w:pPr>
        <w:pStyle w:val="ListBullet"/>
      </w:pPr>
      <w:r>
        <w:t>Nancy Burgess, Analyst, Quillon Harbor Advisors</w:t>
      </w:r>
    </w:p>
    <w:p>
      <w:r>
        <w:t>The session opened with outreach. Kelly Brown reported that the first round is complete, and that the contact log closed at 31 investors approached as of yesterday evening. Calls went first to the investors Sandra Waters ranked highest when she approved the list. Most have answered. Those that declined gave the usual reasons: a company outside their size range, or a portfolio company too close to this one. Several have asked for the confidential presentation, and each will receive it once its confidentiality agreement is signed.</w:t>
      </w:r>
    </w:p>
    <w:p>
      <w:r>
        <w:t>Richard Mccoy summarized what investors asked on first calls. Three questions recurred. What is the capital for? Will the shareholders keep running the company? How much of the business rests on its largest customers? The presentation answers the first two. The third needs a page of its own, built from the customer data the company has already provided.</w:t>
      </w:r>
    </w:p>
    <w:p>
      <w:r>
        <w:t>Sandra Waters then raised whether to add a strategic investor from the company's own industry. The group discussed it and dropped it. A strategic holder would see customer terms and pricing. The shareholders have said from the start that they want a financial partner. The list stays as approved.</w:t>
      </w:r>
    </w:p>
    <w:p>
      <w:r>
        <w:t>Justin Gonzalez took the group through the August results, which are now in the model. Nothing in them moves the valuation range the shareholders saw before outreach began. He asked whether the presentation should also carry a downside case. Richard Mccoy advised against it, on the ground that investors build their own downside and judge the company on the base case. Justin's objection was fair: an investor left to build its own downside may build a harsher one than ours. The point was not pursued.</w:t>
      </w:r>
    </w:p>
    <w:p>
      <w:r>
        <w:t>Nancy Burgess, who now keeps the data room index, reported on the data room. The index is built from the company's first deliveries. Two folders are thin: customer contracts and the lease schedule. Sandra Waters will have both filled before any investor is given access.</w:t>
      </w:r>
    </w:p>
    <w:p>
      <w:r>
        <w:t>Kelly Brown asked whether investors that declined should be called again after the meetings. Richard Mccoy said no. A second call to a firm that has already said no reads as pressure, and it tells the market the process is short of interest. The point was dropped.</w:t>
      </w:r>
    </w:p>
    <w:p>
      <w:r>
        <w:t>Kelly Brown then raised the timing of management meetings. Several investors would like to meet in the second half of October. Sandra Waters noted that her team closes the quarter in the same weeks. The group agreed to hold meetings to two days a week until the close is done. A suggestion to run the first meetings by video was raised and set aside; the shareholders want to meet investors in person.</w:t>
      </w:r>
    </w:p>
    <w:p>
      <w:r>
        <w:t>Three matters were left open. The first is governance. Investors will ask what board representation and which consent rights the shareholders will accept from a minority holder, and we need an answer before the first meeting. Sandra Waters carries this to the shareholders. The second is the meeting calendar itself. Kelly Brown carries it, and she needs the quarter-close dates from Sandra Waters to finish it. The third is the customer page raised earlier, which is not yet drafted. Justin Gonzalez carries it and will circulate a draft to the team before it goes into the presentation.</w:t>
      </w:r>
    </w:p>
    <w:p>
      <w:r>
        <w:t>Next step: Kelly Brown sends the draft meeting calendar to Sandra Waters on Tuesday.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Growth Capital Raise for Beck, Martin and Dawson</dc:title>
  <dc:subject/>
  <dc:creator>Richard Mccoy</dc:creator>
  <cp:keywords/>
  <dc:description>generated by python-docx</dc:description>
  <cp:lastModifiedBy>Richard Mccoy</cp:lastModifiedBy>
  <cp:revision>1</cp:revision>
  <dcterms:created xsi:type="dcterms:W3CDTF">2022-09-30T09:00:00Z</dcterms:created>
  <dcterms:modified xsi:type="dcterms:W3CDTF">2022-09-30T09:00:00Z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