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Should the Management Group Bid for Blankenship Inc, and Can It Finance the Bid?</w:t>
      </w:r>
    </w:p>
    <w:p>
      <w:r>
        <w:t>To: Richard Mccoy, Angela Cole, James Lawson</w:t>
        <w:br/>
        <w:t>From: Thomas Mccoy</w:t>
        <w:br/>
        <w:t>Re: Management buyout advisory for Blankenship Inc, kickoff</w:t>
        <w:br/>
        <w:t>Distribution: engagement team only. Please do not forward this memo or quote from it outside the team.</w:t>
      </w:r>
    </w:p>
    <w:p>
      <w:r>
        <w:t>Our engagement opened on April 2, 2018. Joseph Jones, the company's Chief Financial Officer, speaks for the management group and is our day-to-day contact. The group has one decision to make, and this memo sets out the work we will do to inform it.</w:t>
      </w:r>
    </w:p>
    <w:p>
      <w:r>
        <w:t>The decision breaks into four questions. First, what is the company worth to a buyer whose own money is at risk? Second, how much debt can the business carry, and from which lenders? Third, how much equity must the managers put in, and how much of the price must the shareholders agree to defer? Fourth, will the shareholders accept an offer built that way?</w:t>
      </w:r>
    </w:p>
    <w:p>
      <w:r>
        <w:t>The questions are in order of dependence. We cannot size the debt until we know the earnings a lender will accept, and we cannot ask the managers for equity until we know the debt. The shareholders see nothing from us until the first three have answers we can defend.</w:t>
      </w:r>
    </w:p>
    <w:p>
      <w:pPr>
        <w:pStyle w:val="ListBullet"/>
      </w:pPr>
      <w:r>
        <w:t>Value. Angela Cole will build a valuation range from management's model, adjusted for owner-related costs, and from comparable management buyouts and other transactions of similar size. She will mark every input as audited, as management's estimate, or as our assumption. Richard Mccoy reviews the range before any figure reaches Joseph Jones.</w:t>
      </w:r>
    </w:p>
    <w:p>
      <w:pPr>
        <w:pStyle w:val="ListBullet"/>
      </w:pPr>
      <w:r>
        <w:t>Debt capacity. Angela will model the debt the business can carry under the terms lenders are offering this year and under the new federal limit on interest deductions. James Lawson will draft the lender teaser and the confidential information memorandum, describing the company by sector and revenue band until each lender has signed a confidentiality agreement. The financing plan will cover 26 financing sources; the list will mix senior cash-flow lenders with providers of subordinated capital, and it goes to the client for approval before anyone is called.</w:t>
      </w:r>
    </w:p>
    <w:p>
      <w:pPr>
        <w:pStyle w:val="ListBullet"/>
      </w:pPr>
      <w:r>
        <w:t>Equity and deferred consideration. Richard will meet the managers to learn what each is prepared to invest, and he will test how much of the price could be left in as a seller note or as rolled equity. Individual managers' commitments will not appear in any document that leaves this team.</w:t>
      </w:r>
    </w:p>
    <w:p>
      <w:pPr>
        <w:pStyle w:val="ListBullet"/>
      </w:pPr>
      <w:r>
        <w:t>Shareholder acceptance. Richard and Joseph Jones will decide together when the group's first indication goes to the shareholders, and in what form. Nothing goes to the shareholders or their advisors without Richard's approval.</w:t>
      </w:r>
    </w:p>
    <w:p>
      <w:r>
        <w:t>Several things are outside this engagement. We are not running a sale of the company and will not solicit other buyers; if the shareholders decide to test the market, Richard will raise it with the client and we will revisit the engagement letter. We do not advise the shareholders, we are not giving a fairness opinion, and we give no tax, legal or personal financial advice to individual managers.</w:t>
      </w:r>
    </w:p>
    <w:p>
      <w:r>
        <w:t>The quality of earnings review belongs to the accounting firm the company engages. We will read its findings and carry them into the model, but we do not prepare them and we do not sign them.</w:t>
      </w:r>
    </w:p>
    <w:p>
      <w:r>
        <w:t>Nor do we negotiate the managers' own arrangements with the company after closing, such as employment terms or the split of equity among them. Those belong to the managers and their counsel, and we will decline politely if asked.</w:t>
      </w:r>
    </w:p>
    <w:p>
      <w:r>
        <w:t>I will keep the document log for this mandate. Please send me any draft before it goes to Blankenship Inc, and copy me on anything sent to a lender. Richard is fixing a date for the first working session with Joseph Jones; until then the team will meet each Monday morning.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Management Buyout Advisory for Blankenship Inc</dc:title>
  <dc:subject/>
  <dc:creator>Thomas Mccoy</dc:creator>
  <cp:keywords/>
  <dc:description>generated by python-docx</dc:description>
  <cp:lastModifiedBy>Thomas Mccoy</cp:lastModifiedBy>
  <cp:revision>1</cp:revision>
  <dcterms:created xsi:type="dcterms:W3CDTF">2018-04-05T09:00:00Z</dcterms:created>
  <dcterms:modified xsi:type="dcterms:W3CDTF">2018-04-05T09:00:00Z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