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Management Buyout Advisory for Blankenship Inc</w:t>
      </w:r>
    </w:p>
    <w:p>
      <w:r>
        <w:t>To Joseph Jones, Chief Financial Officer, Blankenship Inc. From Thomas Mccoy, Advisory Associate, for the engagement team of Richard Mccoy and Angela Cole. This report covers the period since our July working session. It is confidential to the management group and its counsel.</w:t>
      </w:r>
    </w:p>
    <w:p>
      <w:pPr>
        <w:pStyle w:val="Heading2"/>
      </w:pPr>
      <w:r>
        <w:t>What Happened Since July</w:t>
      </w:r>
    </w:p>
    <w:p>
      <w:r>
        <w:t>The period opened with lender meetings. Management presented the business to each lender that had signed a confidentiality agreement, and Angela Cole sent each of them the customer concentration analysis they had asked for. The later meetings were shorter, as you had asked, because lenders arrived having read the memorandum. The final quality of earnings report then settled the inventory reserve question, on figures close to those in the draft, and Angela updated the model the same week. Written indicative terms began to arrive soon after, and we opened the customer contracts folder to each lender once its terms were in hand. We compared the terms on amount, pricing, amortization, covenants and conditions, and Richard Mccoy took you through that comparison early in August. On that basis the group chose the lenders it will take into confirmatory diligence. Richard then sent the shareholders' advisor a short financing summary, with lender names withheld. The shareholders have agreed to meet on price, and the period closed with that meeting being arranged.</w:t>
      </w:r>
    </w:p>
    <w:p>
      <w:pPr>
        <w:pStyle w:val="Heading2"/>
      </w:pPr>
      <w:r>
        <w:t>The Figures</w:t>
      </w:r>
    </w:p>
    <w:p>
      <w:r>
        <w:t>Four measures appear in this report, and each stands on its own. The financing plan we agreed in June names 26 financing sources; it was set before any outreach began and it has not changed. Outreach is tracked separately, and the tracker shows 16 lenders approached as of this report. The valuation range still rests on 10 comparable buyouts, the same set we used in June, because the final quality of earnings figures did not move the range enough to call for a new one. The engagement budget is unchanged at $118,000, as set in the engagement letter, and nothing in this period required work outside it.</w:t>
      </w:r>
    </w:p>
    <w:p>
      <w:pPr>
        <w:pStyle w:val="Heading2"/>
      </w:pPr>
      <w:r>
        <w:t>The Next Period</w:t>
      </w:r>
    </w:p>
    <w:p>
      <w:r>
        <w:t>The next period should take the selected lenders through confirmatory diligence and toward commitment papers, and take the group into price negotiation with the shareholders. That outlook rests on four assumptions. First, the final quality of earnings figures hold up in lender diligence. Second, trading through the summer stays in line with the model. Third, the shareholders accept that part of the price is deferred, in a seller note subordinated to the senior debt. Fourth, the lenders' credit committees meet on the schedule the lenders have given us.</w:t>
      </w:r>
    </w:p>
    <w:p>
      <w:r>
        <w:t>The third assumption carries the most risk. If the shareholders will not defer any part of the price, the group must either find more equity or offer less. Richard Mccoy will want to discuss both options with you before the price meeting.</w:t>
      </w:r>
    </w:p>
    <w:p>
      <w:r>
        <w:t>For that meeting, Angela Cole is preparing a short paper for the management group that sets the valuation range beside the financing terms now in hand. Richard will take you through it beforehand. The paper will not go to the shareholders' side.</w:t>
      </w:r>
    </w:p>
    <w:p>
      <w:r>
        <w:t>The second assumption is the one we can test soonest. Please send the monthly results as each month closes, so that Angela Cole can update the model before the lenders ask for them.</w:t>
      </w:r>
    </w:p>
    <w:p>
      <w:r>
        <w:t>One risk sits outside the four assumptions. Customer concentration remains the lenders' main concern, and the loss or repricing of a large account before closing would reopen their terms. We know of no such event, and you have agreed to tell us at once if one appears.</w:t>
      </w:r>
    </w:p>
    <w:p>
      <w:r>
        <w:t>The purchase agreement will follow the price meeting. The shareholders' counsel has said it will prepare the first draft, which is usual for a seller. Your counsel and Richard Mccoy will review it together, and Angela Cole will check every defined financial term against the model.</w:t>
      </w:r>
    </w:p>
    <w:p>
      <w:r>
        <w:t>Confirmatory diligence will be heavier than the first round. The lenders will want site visits, a review of the principal customer contracts, and their own counsel's review of the purchase agreement once a draft exists. I will run their requests through a single list, so that management answers each question once.</w:t>
      </w:r>
    </w:p>
    <w:p>
      <w:r>
        <w:t>This report describes lender terms in general only. Please keep it within the management group of Blankenship Inc and its counsel until the price meeting has taken place.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Management Buyout Advisory for Blankenship Inc</dc:title>
  <dc:subject/>
  <dc:creator>Thomas Mccoy</dc:creator>
  <cp:keywords/>
  <dc:description>generated by python-docx</dc:description>
  <cp:lastModifiedBy>Thomas Mccoy</cp:lastModifiedBy>
  <cp:revision>1</cp:revision>
  <dcterms:created xsi:type="dcterms:W3CDTF">2018-08-15T09:00:00Z</dcterms:created>
  <dcterms:modified xsi:type="dcterms:W3CDTF">2018-08-15T09:00:00Z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