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Management Buyout Advisory for Blankenship Inc</w:t>
      </w:r>
    </w:p>
    <w:p>
      <w:r>
        <w:t>Prepared by Thomas Mccoy, Advisory Associate, for Joseph Jones, Chief Financial Officer. It covers the period since the October working session and is written for the management group and its counsel.</w:t>
      </w:r>
    </w:p>
    <w:p>
      <w:pPr>
        <w:pStyle w:val="Heading2"/>
      </w:pPr>
      <w:r>
        <w:t>Decisions put to the management group</w:t>
      </w:r>
    </w:p>
    <w:p>
      <w:r>
        <w:t>We asked the management group for four decisions in this period. Two have been made. The other two are still open, and both now sit on the path to closing.</w:t>
      </w:r>
    </w:p>
    <w:p>
      <w:r>
        <w:t>The group accepted the senior lender's revised commitment letter. The lender narrowed its market flex in response to our markup, though not as far as we asked, and Richard Mccoy advised that the remaining gap was not worth spending further goodwill to close.</w:t>
      </w:r>
    </w:p>
    <w:p>
      <w:r>
        <w:t>The group also approved the standstill proposal, and the shareholders' counsel has since accepted it. The seller note will carry a shorter standstill and a higher rate, as Richard proposed in October.</w:t>
      </w:r>
    </w:p>
    <w:p>
      <w:r>
        <w:t>The first open decision is the allocation of management equity among the members of the management group. That decision belongs to the group alone, and the subscription documents cannot be completed until it is made.</w:t>
      </w:r>
    </w:p>
    <w:p>
      <w:r>
        <w:t>The second is the group's response on working capital. The second draft of the purchase agreement changes how working capital is measured for the closing adjustment. Joseph Jones has asked to see Angela Cole's comparison of the two definitions before the group replies.</w:t>
      </w:r>
    </w:p>
    <w:p>
      <w:pPr>
        <w:pStyle w:val="Heading2"/>
      </w:pPr>
      <w:r>
        <w:t>Completed since the October session</w:t>
      </w:r>
    </w:p>
    <w:p>
      <w:pPr>
        <w:pStyle w:val="ListBullet"/>
      </w:pPr>
      <w:r>
        <w:t>Richard Mccoy sent the flex markup to the senior lender and settled the revised commitment letter that the group has accepted.</w:t>
      </w:r>
    </w:p>
    <w:p>
      <w:pPr>
        <w:pStyle w:val="ListBullet"/>
      </w:pPr>
      <w:r>
        <w:t>I reconciled the senior commitment letter against its term sheet, line by line, and circulated the reconciliation to the working group only.</w:t>
      </w:r>
    </w:p>
    <w:p>
      <w:pPr>
        <w:pStyle w:val="ListBullet"/>
      </w:pPr>
      <w:r>
        <w:t>Angela Cole reran the model with the higher note rate and the minimum liquidity test. The base case still meets the test in every month, and the result went to Joseph Jones.</w:t>
      </w:r>
    </w:p>
    <w:p>
      <w:pPr>
        <w:pStyle w:val="ListBullet"/>
      </w:pPr>
      <w:r>
        <w:t>The subordinated lender delivered its commitment letter. Its terms match its term sheet.</w:t>
      </w:r>
    </w:p>
    <w:p>
      <w:pPr>
        <w:pStyle w:val="ListBullet"/>
      </w:pPr>
      <w:r>
        <w:t>The lenders finished confirmatory diligence. Their site visits are done, and lender counsel has completed its review of the principal customer contracts.</w:t>
      </w:r>
    </w:p>
    <w:p>
      <w:pPr>
        <w:pStyle w:val="ListBullet"/>
      </w:pPr>
      <w:r>
        <w:t>Richard Mccoy agreed the seller note standstill with the shareholders' counsel, and the agreed terms now appear in the second draft of the purchase agreement.</w:t>
      </w:r>
    </w:p>
    <w:p>
      <w:pPr>
        <w:pStyle w:val="ListBullet"/>
      </w:pPr>
      <w:r>
        <w:t>Lender outreach was formally closed. The tracker stands at 16 lenders approached, and no lender has been contacted since the summer.</w:t>
      </w:r>
    </w:p>
    <w:p>
      <w:pPr>
        <w:pStyle w:val="ListBullet"/>
      </w:pPr>
      <w:r>
        <w:t>The term sheet file was closed and archived with the reconciliation. It holds 5 term sheets received, and no further terms are being sought.</w:t>
      </w:r>
    </w:p>
    <w:p>
      <w:pPr>
        <w:pStyle w:val="ListBullet"/>
      </w:pPr>
      <w:r>
        <w:t>Angela Cole refreshed the price support paper for the management group's file. It sets the agreed price against 10 comparable buyouts, the same set that supported the indicative proposal.</w:t>
      </w:r>
    </w:p>
    <w:p>
      <w:pPr>
        <w:pStyle w:val="Heading2"/>
      </w:pPr>
      <w:r>
        <w:t>Work in hand</w:t>
      </w:r>
    </w:p>
    <w:p>
      <w:pPr>
        <w:pStyle w:val="ListBullet"/>
      </w:pPr>
      <w:r>
        <w:t>The purchase agreement. The second draft is with your counsel and Richard Mccoy, and Angela Cole is checking each defined financial term against the model.</w:t>
      </w:r>
    </w:p>
    <w:p>
      <w:pPr>
        <w:pStyle w:val="ListBullet"/>
      </w:pPr>
      <w:r>
        <w:t>The disclosure schedules. Management is preparing them with your counsel, and I am tracking each schedule on the closing checklist.</w:t>
      </w:r>
    </w:p>
    <w:p>
      <w:pPr>
        <w:pStyle w:val="ListBullet"/>
      </w:pPr>
      <w:r>
        <w:t>The senior and subordinated credit agreements. Lender counsel is drafting both from the commitment letters, and I am checking each draft against the reconciliation as it arrives.</w:t>
      </w:r>
    </w:p>
    <w:p>
      <w:pPr>
        <w:pStyle w:val="ListBullet"/>
      </w:pPr>
      <w:r>
        <w:t>The intercreditor agreement between the senior and subordinated lenders, and the subordination agreement for the seller note. The second must carry the standstill exactly as it was agreed with the shareholders' counsel.</w:t>
      </w:r>
    </w:p>
    <w:p>
      <w:pPr>
        <w:pStyle w:val="ListBullet"/>
      </w:pPr>
      <w:r>
        <w:t>The management equity subscription documents. Your counsel has a draft, which will be completed once the group has decided the allocation.</w:t>
      </w:r>
    </w:p>
    <w:p>
      <w:pPr>
        <w:pStyle w:val="ListBullet"/>
      </w:pPr>
      <w:r>
        <w:t>The funds flow memorandum. Angela Cole has begun it from the model. It will stay within the working group until the lenders confirm their funding amounts.</w:t>
      </w:r>
    </w:p>
    <w:p>
      <w:pPr>
        <w:pStyle w:val="ListBullet"/>
      </w:pPr>
      <w:r>
        <w:t>The closing checklist. I update it after each call and send it to the working group only.</w:t>
      </w:r>
    </w:p>
    <w:p>
      <w:pPr>
        <w:pStyle w:val="ListBullet"/>
      </w:pPr>
      <w:r>
        <w:t>The closing call. Once the credit documents are agreed, I will set its agenda with your counsel and lender counsel and circulate it beforehand.</w:t>
      </w:r>
    </w:p>
    <w:p>
      <w:pPr>
        <w:pStyle w:val="Heading2"/>
      </w:pPr>
      <w:r>
        <w:t>Between now and closing</w:t>
      </w:r>
    </w:p>
    <w:p>
      <w:r>
        <w:t>The next period should take the transaction to closing. That depends first on the two open decisions, because neither the subscription documents nor the working capital mechanics can be settled without them.</w:t>
      </w:r>
    </w:p>
    <w:p>
      <w:r>
        <w:t>It depends next on lender counsel. The funds flow cannot be finalized until the credit documents are in agreed form, and both commitment letters assume that trading stays in line with the model. Please continue to send the monthly results as each month closes, so that Angela Cole can confirm the liquidity test before the lenders ask.</w:t>
      </w:r>
    </w:p>
    <w:p>
      <w:r>
        <w:t>One risk is unchanged from earlier reports. The loss or repricing of a large account before closing would reopen the lenders' terms. We know of no such event, and you have agreed to tell us at once if one appears.</w:t>
      </w:r>
    </w:p>
    <w:p>
      <w:r>
        <w:t>The financing plan going into closing still names 26 financing sources, as it did before outreach began. Our work through closing remains within the engagement budget of $118,000 set in the engagement letter.</w:t>
      </w:r>
    </w:p>
    <w:p>
      <w:r>
        <w:t>This report names neither lender and describes their terms in general only. Please keep it within the management group of Blankenship Inc and its counsel, and ask me before it goes any further.</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Management Buyout Advisory for Blankenship Inc</dc:title>
  <dc:subject/>
  <dc:creator>Thomas Mccoy</dc:creator>
  <cp:keywords/>
  <dc:description>generated by python-docx</dc:description>
  <cp:lastModifiedBy>Thomas Mccoy</cp:lastModifiedBy>
  <cp:revision>1</cp:revision>
  <dcterms:created xsi:type="dcterms:W3CDTF">2018-12-13T09:00:00Z</dcterms:created>
  <dcterms:modified xsi:type="dcterms:W3CDTF">2018-12-13T09:00:00Z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