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Notes: Blankenship Inc Management Buyout</w:t>
      </w:r>
    </w:p>
    <w:p>
      <w:pPr>
        <w:pStyle w:val="ListBullet"/>
      </w:pPr>
      <w:r>
        <w:t>Richard Mccoy, Partner, Quillon Harbor Advisors (chair)</w:t>
      </w:r>
    </w:p>
    <w:p>
      <w:pPr>
        <w:pStyle w:val="ListBullet"/>
      </w:pPr>
      <w:r>
        <w:t>Joseph Jones, Chief Financial Officer, Blankenship Inc</w:t>
      </w:r>
    </w:p>
    <w:p>
      <w:pPr>
        <w:pStyle w:val="ListBullet"/>
      </w:pPr>
      <w:r>
        <w:t>Thomas Mccoy, Advisory Associate, Quillon Harbor Advisors</w:t>
      </w:r>
    </w:p>
    <w:p>
      <w:pPr>
        <w:pStyle w:val="ListBullet"/>
      </w:pPr>
      <w:r>
        <w:t>Angela Cole, Analyst, Quillon Harbor Advisors</w:t>
      </w:r>
    </w:p>
    <w:p>
      <w:r>
        <w:t>First topic: the financing commitments for Blankenship Inc. Thomas Mccoy confirmed for the record that lender outreach closed with 16 lenders approached over the summer, and that no further lender will be contacted unless the selected group withdraws. The senior lender's draft commitment letter is in hand. Its covenants are close to the term sheet, but it adds a minimum liquidity test the term sheet did not contain, and its market flex language is wider than the group accepted at term sheet stage. Angela Cole confirmed that the base case meets the liquidity test in every month of the model, with the narrowest margin at the seasonal low in working capital. The subordinated lender's terms are unchanged from its term sheet and were not discussed. Richard Mccoy recommended accepting the liquidity test and pushing back on the flex. The strongest objection is that pushing back costs goodwill with the lender, and the group may need that goodwill on later points. Joseph Jones agreed with the recommendation. Where it landed: the liquidity test is accepted, and a markup narrowing the flex goes back to the lender.</w:t>
      </w:r>
    </w:p>
    <w:p>
      <w:r>
        <w:t>Second topic: the purchase agreement and the seller note. The shareholders' counsel has returned the first draft of the purchase agreement, and the price agreed at the shareholders' meeting stands. The open point is the seller note. The senior lender requires the note to be fully subordinated, with no payments while a default continues and a standstill on enforcement. The shareholders' counsel accepts subordination but resists the length of the standstill. Richard Mccoy proposed a shorter standstill in exchange for a modestly higher interest rate on the note. Angela Cole said the model can carry the higher rate without pressing on the senior covenants, subject to her rerun. Joseph Jones asked that the proposal go to the management group before it goes to the shareholders, and Richard agreed. The working capital target in the draft follows the quality of earnings figures and was not discussed further. Where it landed: subordination is agreed in principle, and the length of the standstill remains open.</w:t>
      </w:r>
    </w:p>
    <w:p>
      <w:r>
        <w:t>Richard Mccoy will send the flex markup to the senior lender. Once the management group has agreed, he will put the standstill proposal to the shareholders' counsel. Thomas Mccoy will reconcile the commitment letter against the term sheet line by line, keep purchase agreement drafts within the working group, and update the closing checklist. Angela Cole will rerun the model with the higher note rate and the liquidity test and send the result to Joseph Jones. Joseph Jones will take the standstill proposal to the management group of Blankenship Inc and confirm the group's position to Richard.</w:t>
      </w:r>
    </w:p>
    <w:p>
      <w:r>
        <w:t>The next session will be set when the shareholders' counsel responds on the standstill. Thomas Mccoy will circulate the reconciled commitment letter beforehand, so that the session can take it as read.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Management Buyout Advisory for Blankenship Inc</dc:title>
  <dc:subject/>
  <dc:creator>Richard Mccoy</dc:creator>
  <cp:keywords/>
  <dc:description>generated by python-docx</dc:description>
  <cp:lastModifiedBy>Richard Mccoy</cp:lastModifiedBy>
  <cp:revision>1</cp:revision>
  <dcterms:created xsi:type="dcterms:W3CDTF">2018-10-17T09:00:00Z</dcterms:created>
  <dcterms:modified xsi:type="dcterms:W3CDTF">2018-10-17T09:00:00Z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