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Mark Allen, Sarah Fletcher</w:t>
        <w:br/>
        <w:t>From: Angela Cole</w:t>
        <w:br/>
        <w:t>Re: Browning, Duffy and Santos, carve-out advisory, kickoff</w:t>
      </w:r>
    </w:p>
    <w:p>
      <w:pPr>
        <w:pStyle w:val="Heading2"/>
      </w:pPr>
      <w:r>
        <w:t>The situation as we understand it</w:t>
      </w:r>
    </w:p>
    <w:p>
      <w:r>
        <w:t>Our engagement with Browning, Duffy and Santos began on May 13, 2019. The company intends to sell a business unit that has always operated inside it, and what we know about that unit comes from two places: our conversations with Thomas Le, and the first package of management accounts his team sent over. I have kept the two sources apart below, because they will not always agree.</w:t>
      </w:r>
    </w:p>
    <w:p>
      <w:r>
        <w:t>On the accounts, the unit carries an allocation of corporate cost for finance, human resources, information technology, and purchasing, and the allocation appears to be set as a share of revenue rather than built up from use. That is my reading of the schedules; Thomas Le has not yet confirmed it. On the conversations, we were told that the unit runs on the company's own ERP instance, that some of its customer contracts sit with the parent entity rather than with the unit, and that the company has not decided which of the unit's managers would transfer with it. None of those points has been checked.</w:t>
      </w:r>
    </w:p>
    <w:p>
      <w:pPr>
        <w:pStyle w:val="Heading2"/>
      </w:pPr>
      <w:r>
        <w:t>How we propose to approach it</w:t>
      </w:r>
    </w:p>
    <w:p>
      <w:r>
        <w:t>A buyer will be valuing something that has never had to pay for its own back office, and that fact, more than the unit's growth or its margins, is what will set the tone of the bids. It follows that the first piece of work is the standalone cost picture: what the allocated functions would cost a new owner, which of them a strategic buyer could absorb into its own operations, and which a financial sponsor would have to build or buy. It also follows that the company has to answer the transition services question before we go to market, since a sponsor in particular cannot bid with confidence until it knows how long the ERP and the shared contracts will be supported after closing.</w:t>
      </w:r>
    </w:p>
    <w:p>
      <w:r>
        <w:t>The engagement letter provides for outreach to 140 prospective buyers, and a draft of that list exists. I would hold it back from Thomas Le until the standalone numbers are at least in draft, because the balance between strategic and financial names on it should reflect what those numbers show: if standing the unit up alone is expensive, the strategic names, which can avoid most of that expense, deserve to be called first and given more time. Sarah Fletcher will run the calls in either case, and the anonymous profile she works from should describe the unit by sector and revenue band only. That matters more than usual here, since the parent's identity is the easiest thing in the profile to guess.</w:t>
      </w:r>
    </w:p>
    <w:p>
      <w:pPr>
        <w:pStyle w:val="Heading2"/>
      </w:pPr>
      <w:r>
        <w:t>The first two weeks</w:t>
      </w:r>
    </w:p>
    <w:p>
      <w:r>
        <w:t>This week I will send Thomas Le a data request covering cost allocations by function, headcount by function and location, the contracts the parent holds on the unit's behalf, and a map of the systems the unit shares. Next week I would like two days with his finance team on the allocations themselves, working from their schedules rather than ours, so that the standalone estimate starts from figures they recognize. In parallel, Sarah Fletcher will draft the anonymous profile and the talking points for her first calls, and Mark Allen will propose the working calendar to Thomas Le at our first session with his team, by which point I will have the buyer list in a form fit to show him, with the basis for each name recorded beside it.</w:t>
      </w:r>
    </w:p>
    <w:p>
      <w:r>
        <w:t>Everything above waits on the data request. I have circulated the draft, and I need Mark Allen's comments on it by tomorrow morning so that it reaches Thomas Le before the end of the week.</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Kickoff Memo: Carve-Out Advisory for Browning, Duffy and Santos</dc:title>
  <dc:subject/>
  <dc:creator>Angela Cole</dc:creator>
  <cp:keywords/>
  <dc:description>generated by python-docx</dc:description>
  <cp:lastModifiedBy>Angela Cole</cp:lastModifiedBy>
  <cp:revision>1</cp:revision>
  <dcterms:created xsi:type="dcterms:W3CDTF">2019-05-16T09:00:00Z</dcterms:created>
  <dcterms:modified xsi:type="dcterms:W3CDTF">2019-05-16T09:00:00Z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