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The Confidentiality Agreement Period</w:t>
      </w:r>
    </w:p>
    <w:p>
      <w:r>
        <w:t>Prepared for Thomas Le, VP Finance, Browning, Duffy and Santos, by Angela Cole, Analyst, with Mark Allen and Sarah Fletcher.</w:t>
      </w:r>
    </w:p>
    <w:p>
      <w:pPr>
        <w:pStyle w:val="Heading2"/>
      </w:pPr>
      <w:r>
        <w:t>Progress against the plan</w:t>
      </w:r>
    </w:p>
    <w:p>
      <w:r>
        <w:t>The process is where the working calendar placed it for this point, with one exception, which is the first risk listed below. First-round outreach closed with 46 buyers contacted, as reported at the last working session, and the period since has been taken up with confidentiality agreements and the first weeks of the data room.</w:t>
      </w:r>
    </w:p>
    <w:p>
      <w:r>
        <w:t>The confidentiality agreement round has produced 23 NDAs executed to date, and each signing party has received the memorandum and access to the data room. Sarah Fletcher reports that the sponsors who objected to the non-solicitation clause accepted the narrowed version Mark Allen proposed, and that none withdrew over it. That account comes from her calls; not every party has yet confirmed it in writing.</w:t>
      </w:r>
    </w:p>
    <w:p>
      <w:r>
        <w:t>Data room activity has been steady. Most signed parties opened the room within days of receiving access, and the questions log so far runs to customer contracts, the ERP, and headcount by function, in roughly that order of frequency. The ordering is my reading of the log, not a tally I would stand behind until the log is closed.</w:t>
      </w:r>
    </w:p>
    <w:p>
      <w:r>
        <w:t>The standalone cost bridge has been reviewed with your team for the finance, human resources, and purchasing functions, where the allocated and standalone figures are close. Information technology remains the exception. Our estimate of what a buyer would pay to replace the Business's systems sits well above the current allocation, and it stays an estimate until your team has been through it; it has not been placed in the data room.</w:t>
      </w:r>
    </w:p>
    <w:p>
      <w:r>
        <w:t>Neither of the reference sets has changed. The approved list remains 140 prospective buyers, as you reviewed it, and we continue to read buyer feedback against 13 comparable carve-outs. Nothing we have heard so far sits outside what those precedents suggest about how buyers price an unsettled transition period. This is a qualitative reading, since few of the precedents disclose valuation in enough detail to support a numerical one.</w:t>
      </w:r>
    </w:p>
    <w:p>
      <w:r>
        <w:t>Our work remains within the engagement budget set in the letter, a fee of $39,000, and the only expense of note has been the data room.</w:t>
      </w:r>
    </w:p>
    <w:p>
      <w:r>
        <w:t>The next stage in the plan is the instruction letter asking signed parties for indications of interest. It is drafted, and it is the item held up by the first risk below.</w:t>
      </w:r>
    </w:p>
    <w:p>
      <w:r>
        <w:t>Once indications are in, we will recommend which parties to invite to management meetings, and we would like the unit's managers to rehearse once with Mark Allen and Sarah Fletcher beforehand. The company's decision on which managers transfer with the Business will be needed by then, since buyers will ask whom they are meeting and whether those people come with the sale.</w:t>
      </w:r>
    </w:p>
    <w:p>
      <w:pPr>
        <w:pStyle w:val="Heading2"/>
      </w:pPr>
      <w:r>
        <w:t>Open risks</w:t>
      </w:r>
    </w:p>
    <w:p>
      <w:pPr>
        <w:pStyle w:val="ListBullet"/>
      </w:pPr>
      <w:r>
        <w:t>ERP transition support. Owner: Thomas Le. Trigger: the instruction letter is ready to go out and the company has not fixed the period of ERP support it will offer. Parties would then bid against different assumptions, and their indications could not be compared on equal terms.</w:t>
      </w:r>
    </w:p>
    <w:p>
      <w:pPr>
        <w:pStyle w:val="ListBullet"/>
      </w:pPr>
      <w:r>
        <w:t>Customer contracts held by the parent entity. Owner: Thomas Le, with the company's legal team. Trigger: any contract that needs counterparty consent to assign and for which consent has not been requested before indications arrive.</w:t>
      </w:r>
    </w:p>
    <w:p>
      <w:pPr>
        <w:pStyle w:val="ListBullet"/>
      </w:pPr>
      <w:r>
        <w:t>Standalone information technology cost. Owner: Angela Cole. Trigger: a buyer's diligence producing a replacement cost for the Business's systems materially above ours, which is still an estimate and has not yet been reviewed by your team.</w:t>
      </w:r>
    </w:p>
    <w:p>
      <w:pPr>
        <w:pStyle w:val="ListBullet"/>
      </w:pPr>
      <w:r>
        <w:t>Sponsor engagement. Owner: Sarah Fletcher. Trigger: a signed party that has not opened the data room within a week of receiving access, which is usually the first sign of a party drifting out of a process.</w:t>
      </w:r>
    </w:p>
    <w:p>
      <w:pPr>
        <w:pStyle w:val="ListBullet"/>
      </w:pPr>
      <w:r>
        <w:t>Confidentiality. Owner: Mark Allen. Trigger: any sign that the company's identity has been discussed with a party that has not signed.</w:t>
      </w:r>
    </w:p>
    <w:p>
      <w:pPr>
        <w:pStyle w:val="Heading2"/>
      </w:pPr>
      <w:r>
        <w:t>What has changed since the last report</w:t>
      </w:r>
    </w:p>
    <w:p>
      <w:r>
        <w:t>Against the risk list reviewed at the last working session, one risk has closed, one has grown, and one is new. The non-solicitation objection has closed with the narrowed clause. The customer contract question has grown: the company's legal team has identified contracts that appear to need consent to assign, and while the final list is theirs to confirm, the issue is no longer a theoretical one. The standalone technology cost is new to the list, following the controller sessions, and it should be read alongside the ERP risk rather than apart from it, since a longer period of ERP support would reduce what a buyer has to replace on its first day.</w:t>
      </w:r>
    </w:p>
    <w:p>
      <w:r>
        <w:t>The ERP period remains the single decision that most affects the next stage. We would ask for the company's position on it before the instruction letter goes out, and Mark Allen will call you this week to take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Carve-Out Advisory for Browning, Duffy and Santos</dc:title>
  <dc:subject/>
  <dc:creator>Angela Cole</dc:creator>
  <cp:keywords/>
  <dc:description>generated by python-docx</dc:description>
  <cp:lastModifiedBy>Angela Cole</cp:lastModifiedBy>
  <cp:revision>1</cp:revision>
  <dcterms:created xsi:type="dcterms:W3CDTF">2019-08-08T09:00:00Z</dcterms:created>
  <dcterms:modified xsi:type="dcterms:W3CDTF">2019-08-08T09:00:00Z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