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Browning, Duffy and Santos Carve-Out</w:t>
      </w:r>
    </w:p>
    <w:p>
      <w:pPr>
        <w:pStyle w:val="ListBullet"/>
      </w:pPr>
      <w:r>
        <w:t>Mark Allen, Partner, Quillon Harbor</w:t>
      </w:r>
    </w:p>
    <w:p>
      <w:pPr>
        <w:pStyle w:val="ListBullet"/>
      </w:pPr>
      <w:r>
        <w:t>Angela Cole, Analyst, Quillon Harbor</w:t>
      </w:r>
    </w:p>
    <w:p>
      <w:pPr>
        <w:pStyle w:val="ListBullet"/>
      </w:pPr>
      <w:r>
        <w:t>Sarah Fletcher, Advisory Associate, Quillon Harbor</w:t>
      </w:r>
    </w:p>
    <w:p>
      <w:pPr>
        <w:pStyle w:val="ListBullet"/>
      </w:pPr>
      <w:r>
        <w:t>Michael Duffy, Analyst, Quillon Harbor</w:t>
      </w:r>
    </w:p>
    <w:p>
      <w:pPr>
        <w:pStyle w:val="ListBullet"/>
      </w:pPr>
      <w:r>
        <w:t>Thomas Le, VP Finance, Browning, Duffy and Santos</w:t>
      </w:r>
    </w:p>
    <w:p>
      <w:pPr>
        <w:pStyle w:val="Heading2"/>
      </w:pPr>
      <w:r>
        <w:t>The session, in the order taken</w:t>
      </w:r>
    </w:p>
    <w:p>
      <w:r>
        <w:t>First-round outreach is complete and the process is on the calendar agreed with Thomas Le. The open questions are now about the Business, not about buyer interest.</w:t>
      </w:r>
    </w:p>
    <w:p>
      <w:r>
        <w:t>Sarah Fletcher opened with outreach. The first round closed with 46 buyers contacted. She described the response as steady rather than eager: strategic parties asked mostly about customer contracts, and sponsors asked mostly about the transition period. Confidentiality agreements are out with the parties that asked for the memorandum, and several sponsors have objected to the employee non-solicitation clause as drafted. She expects most of the outstanding agreements to be signed within two weeks if the clause is settled.</w:t>
      </w:r>
    </w:p>
    <w:p>
      <w:r>
        <w:t>Michael Duffy reported on his sessions with the company's controller. Allocations for finance, human resources, and purchasing are close to what those functions would cost a new owner. Information technology is the exception: the allocation understates what a buyer would pay to replace it, chiefly because the Business uses the company's ERP instance and licenses at no charge today. His working figure is an estimate and has not yet been reviewed by Thomas Le.</w:t>
      </w:r>
    </w:p>
    <w:p>
      <w:r>
        <w:t>Angela Cole reported on the memorandum and the data room. The memorandum is going to signing parties with the transition section describing services in general terms and the ERP period left open. The data room index follows the separation profile, so that a buyer finds everything the Business shares with the company in one place. She asked that nothing from the controller sessions go into the room until Thomas Le has reviewed Michael Duffy's figures. Agreed.</w:t>
      </w:r>
    </w:p>
    <w:p>
      <w:r>
        <w:t>Thomas Le raised whether to add parties to the list now that the first round is done. Discussed and dropped: the list was approved before outreach, and new names approached now would trail the others by several weeks. Mark Allen raised whether the company should commission a quality-of-earnings review from an outside accounting firm before indications are requested. Thomas Le preferred to wait for buyer feedback, and the point was dropped for this session. Thomas Le also asked when indications would be requested. Mark Allen's answer was that the date follows the ERP decision and should not be fixed before it.</w:t>
      </w:r>
    </w:p>
    <w:p>
      <w:pPr>
        <w:pStyle w:val="Heading2"/>
      </w:pPr>
      <w:r>
        <w:t>Left open</w:t>
      </w:r>
    </w:p>
    <w:p>
      <w:r>
        <w:t>Three items remain unresolved. The length of ERP transition support sits with Thomas Le, to take to the company's leadership; buyers will price it, and the instruction letter for indications should not go out without it. The customer contracts held by the parent entity rather than by the Business also sit with Thomas Le, working with the company's legal team to establish which of them need counterparty consent to assign. The non-solicitation clause sits with Sarah Fletcher: Mark Allen recommended narrowing it to employees a buyer meets during the process, and she will put that position to the sponsors who objected.</w:t>
      </w:r>
    </w:p>
    <w:p>
      <w:r>
        <w:t>Next session to be set once Thomas Le has the company's answer on ERP support.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Carve-Out Advisory for Browning, Duffy and Santos</dc:title>
  <dc:subject/>
  <dc:creator>Mark Allen</dc:creator>
  <cp:keywords/>
  <dc:description>generated by python-docx</dc:description>
  <cp:lastModifiedBy>Mark Allen</cp:lastModifiedBy>
  <cp:revision>1</cp:revision>
  <dcterms:created xsi:type="dcterms:W3CDTF">2019-07-22T09:00:00Z</dcterms:created>
  <dcterms:modified xsi:type="dcterms:W3CDTF">2019-07-22T09:00:00Z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