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Hamilton PLC fairness opinion: opening note</w:t>
      </w:r>
    </w:p>
    <w:p>
      <w:r>
        <w:t>From Sandra Norman to Richard Mccoy and Melissa Jacobson. For the deal team only; please do not forward.</w:t>
      </w:r>
    </w:p>
    <w:p>
      <w:r>
        <w:t>This opinion will be decided by the cost base, not by the multiples. The division we are valuing has never run on its own: its results carry a share of the group's central costs on an allocation key, and a buyer will price it on what those services will actually cost once the division leaves the group, which may be a quite different figure. If we value the division on its reported results and the stand-alone cost turns out higher, the board will hold an opinion that compares the consideration with a business the buyer is not buying.</w:t>
      </w:r>
    </w:p>
    <w:p>
      <w:r>
        <w:t>So we will start where we would normally finish. Before Melissa Jacobson opens a comparables screen, she will build a bridge from the division's reported results to a stand-alone view, line by line, covering finance, IT, procurement, insurance and whatever else the group provides today, and each line will show whether its figure came from management or from our own estimate. Richard Mccoy will take the first management session himself and give most of it to those services and to what the buyer has said it will and will not cover through transitional arrangements, and I have ordered the information request so that the cost material comes first and the historical detail follows.</w:t>
      </w:r>
    </w:p>
    <w:p>
      <w:r>
        <w:t>It also changes how we treat the buyer's view of those costs. The buyer will have formed its own estimate of what it takes to run the division alone; we will not ask for it, and if it reaches us through the company we will not adopt it, because an opinion resting on the buyer's arithmetic would not be independent. Where management's figure and ours differ on a line, the bridge will carry both and the board will see the difference, so that no choice between them is made quietly inside the model.</w:t>
      </w:r>
    </w:p>
    <w:p>
      <w:r>
        <w:t>The objectives follow from that order. The engagement opened on August 13, 2021, and the first thing the board will receive from us is a note on the basis of valuation, setting out the forecast and the stand-alone cost base we propose to rely on, which the board confirms before any valuation work is put in front of it. After that comes a preliminary review with the board in which the method is shown before the answer, and then an opinion our committee can pass without reopening the cost question, because by that point the board will already have settled it. The committee will want every cost line traced to a source, so the bridge will be built to that standard from its first draft and not tidied at the end.</w:t>
      </w:r>
    </w:p>
    <w:p>
      <w:r>
        <w:t>What we need from Hamilton PLC at the start is access more than documents. Heather Miller is our day-to-day contact, and I have asked her for an introduction to whoever in the division prepares the monthly management accounts, since that is the person who can tell us how each allocation was set. The information request went to her when the signed letter came back, and nothing has returned yet, which is normal at this stage; beyond it we need the term sheet, each draft of the sale agreement as counsel produces it, and the board's timetable for the sale in writing, so that our schedule rests on dates the board has set rather than on our own guesses.</w:t>
      </w:r>
    </w:p>
    <w:p>
      <w:r>
        <w:t>Heather Miller is carrying this alongside her own job, so every request to her will come in one consolidated list with the reason for each item beside it, never in separate emails. I will circulate that log, showing what has been asked for, what has arrived and what is outstanding, every Friday, beginning this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Fairness Opinion for Hamilton PLC</dc:title>
  <dc:subject/>
  <dc:creator>Sandra Norman</dc:creator>
  <cp:keywords/>
  <dc:description>generated by python-docx</dc:description>
  <cp:lastModifiedBy>Sandra Norman</cp:lastModifiedBy>
  <cp:revision>1</cp:revision>
  <dcterms:created xsi:type="dcterms:W3CDTF">2021-08-16T09:00:00Z</dcterms:created>
  <dcterms:modified xsi:type="dcterms:W3CDTF">2021-08-16T09:00:00Z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