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Hamilton PLC fairness opinion: status report at the midpoint</w:t>
      </w:r>
    </w:p>
    <w:p>
      <w:r>
        <w:t>The draft sale agreement has not arrived, and it is now the one item holding the opinion back. At our working session earlier this month you expected the buyer's counsel to circulate a first draft within two weeks; that time has passed, and without the draft we cannot confirm how the agreement will define the consideration, how the working capital adjustment at closing will be calculated, or what the transitional services schedule will oblige the buyer to provide. So far the delay has cost the board nothing it cannot recover, since the analyses are ready and the preliminary review does not need the draft; it begins to cost time once that review is behind us, because nothing after it can move without the agreement.</w:t>
      </w:r>
    </w:p>
    <w:p>
      <w:r>
        <w:t>Richard Mccoy spoke to the company's counsel last week, and counsel has since raised the timing with the buyer's counsel directly; we understand the delay lies in the buyer's own review of the transitional services terms rather than in any point of disagreement, though we have that only at second hand. Melissa Jacobson has set up the analyses so that any change the draft makes to the consideration or to the transitional services can be run through the base and downside cases within a day or two of its arrival. I have also tied the opinion committee review in our schedule to receipt of the draft rather than to a calendar date, so the committee will sit as soon as the drafting allows and the delay will not grow once the draft is in hand.</w:t>
      </w:r>
    </w:p>
    <w:p>
      <w:r>
        <w:t>Everything else is where the schedule put it. The extract of the board's confirmation of the stand-alone basis is on file, management has signed off the replacement cost estimates, and the preliminary analyses are drafted on the updated bridge, with the insurance line now on the broker's quotation. Melissa Jacobson's downside case is run and sits beside the base case in the draft materials, and the comparable company and precedent transaction sets are fixed, so the preliminary review needs nothing further from us except a date.</w:t>
      </w:r>
    </w:p>
    <w:p>
      <w:pPr>
        <w:pStyle w:val="Heading2"/>
      </w:pPr>
      <w:r>
        <w:t>This period, measure by measure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Measure</w:t>
            </w:r>
          </w:p>
        </w:tc>
        <w:tc>
          <w:tcPr>
            <w:tcW w:type="dxa" w:w="2880"/>
          </w:tcPr>
          <w:p>
            <w:r>
              <w:rPr>
                <w:b/>
              </w:rPr>
              <w:t>Position at this report</w:t>
            </w:r>
          </w:p>
        </w:tc>
        <w:tc>
          <w:tcPr>
            <w:tcW w:type="dxa" w:w="2880"/>
          </w:tcPr>
          <w:p>
            <w:r>
              <w:rPr>
                <w:b/>
              </w:rPr>
              <w:t>Movement since the working session</w:t>
            </w:r>
          </w:p>
        </w:tc>
      </w:tr>
      <w:tr>
        <w:tc>
          <w:tcPr>
            <w:tcW w:type="dxa" w:w="2880"/>
          </w:tcPr>
          <w:p>
            <w:r>
              <w:t>Information request</w:t>
            </w:r>
          </w:p>
        </w:tc>
        <w:tc>
          <w:tcPr>
            <w:tcW w:type="dxa" w:w="2880"/>
          </w:tcPr>
          <w:p>
            <w:r>
              <w:t>Complete apart from the draft sale agreement and the transitional services schedule</w:t>
            </w:r>
          </w:p>
        </w:tc>
        <w:tc>
          <w:tcPr>
            <w:tcW w:type="dxa" w:w="2880"/>
          </w:tcPr>
          <w:p>
            <w:r>
              <w:t>None; both remain with the buyer's counsel</w:t>
            </w:r>
          </w:p>
        </w:tc>
      </w:tr>
      <w:tr>
        <w:tc>
          <w:tcPr>
            <w:tcW w:type="dxa" w:w="2880"/>
          </w:tcPr>
          <w:p>
            <w:r>
              <w:t>Basis of valuation</w:t>
            </w:r>
          </w:p>
        </w:tc>
        <w:tc>
          <w:tcPr>
            <w:tcW w:type="dxa" w:w="2880"/>
          </w:tcPr>
          <w:p>
            <w:r>
              <w:t>Stand-alone basis confirmed by the board; minuted extract on file</w:t>
            </w:r>
          </w:p>
        </w:tc>
        <w:tc>
          <w:tcPr>
            <w:tcW w:type="dxa" w:w="2880"/>
          </w:tcPr>
          <w:p>
            <w:r>
              <w:t>Extract received</w:t>
            </w:r>
          </w:p>
        </w:tc>
      </w:tr>
      <w:tr>
        <w:tc>
          <w:tcPr>
            <w:tcW w:type="dxa" w:w="2880"/>
          </w:tcPr>
          <w:p>
            <w:r>
              <w:t>Replacement cost estimates</w:t>
            </w:r>
          </w:p>
        </w:tc>
        <w:tc>
          <w:tcPr>
            <w:tcW w:type="dxa" w:w="2880"/>
          </w:tcPr>
          <w:p>
            <w:r>
              <w:t>Signed off by management, insurance on the broker's quotation</w:t>
            </w:r>
          </w:p>
        </w:tc>
        <w:tc>
          <w:tcPr>
            <w:tcW w:type="dxa" w:w="2880"/>
          </w:tcPr>
          <w:p>
            <w:r>
              <w:t>Bridge updated</w:t>
            </w:r>
          </w:p>
        </w:tc>
      </w:tr>
      <w:tr>
        <w:tc>
          <w:tcPr>
            <w:tcW w:type="dxa" w:w="2880"/>
          </w:tcPr>
          <w:p>
            <w:r>
              <w:t>Valuation analyses</w:t>
            </w:r>
          </w:p>
        </w:tc>
        <w:tc>
          <w:tcPr>
            <w:tcW w:type="dxa" w:w="2880"/>
          </w:tcPr>
          <w:p>
            <w:r>
              <w:t>Discounted cash flow, comparable companies and precedent transactions drafted on the base case, with the downside case beside them</w:t>
            </w:r>
          </w:p>
        </w:tc>
        <w:tc>
          <w:tcPr>
            <w:tcW w:type="dxa" w:w="2880"/>
          </w:tcPr>
          <w:p>
            <w:r>
              <w:t>Rerun on the updated bridge</w:t>
            </w:r>
          </w:p>
        </w:tc>
      </w:tr>
      <w:tr>
        <w:tc>
          <w:tcPr>
            <w:tcW w:type="dxa" w:w="2880"/>
          </w:tcPr>
          <w:p>
            <w:r>
              <w:t>Preliminary review with the board</w:t>
            </w:r>
          </w:p>
        </w:tc>
        <w:tc>
          <w:tcPr>
            <w:tcW w:type="dxa" w:w="2880"/>
          </w:tcPr>
          <w:p>
            <w:r>
              <w:t>Materials in draft, showing ranges and no conclusion on fairness</w:t>
            </w:r>
          </w:p>
        </w:tc>
        <w:tc>
          <w:tcPr>
            <w:tcW w:type="dxa" w:w="2880"/>
          </w:tcPr>
          <w:p>
            <w:r>
              <w:t>Date awaits the board's decision below</w:t>
            </w:r>
          </w:p>
        </w:tc>
      </w:tr>
      <w:tr>
        <w:tc>
          <w:tcPr>
            <w:tcW w:type="dxa" w:w="2880"/>
          </w:tcPr>
          <w:p>
            <w:r>
              <w:t>Draft sale agreement</w:t>
            </w:r>
          </w:p>
        </w:tc>
        <w:tc>
          <w:tcPr>
            <w:tcW w:type="dxa" w:w="2880"/>
          </w:tcPr>
          <w:p>
            <w:r>
              <w:t>Not received</w:t>
            </w:r>
          </w:p>
        </w:tc>
        <w:tc>
          <w:tcPr>
            <w:tcW w:type="dxa" w:w="2880"/>
          </w:tcPr>
          <w:p>
            <w:r>
              <w:t>Overdue against the expectation given at the working session</w:t>
            </w:r>
          </w:p>
        </w:tc>
      </w:tr>
      <w:tr>
        <w:tc>
          <w:tcPr>
            <w:tcW w:type="dxa" w:w="2880"/>
          </w:tcPr>
          <w:p>
            <w:r>
              <w:t>Opinion committee review</w:t>
            </w:r>
          </w:p>
        </w:tc>
        <w:tc>
          <w:tcPr>
            <w:tcW w:type="dxa" w:w="2880"/>
          </w:tcPr>
          <w:p>
            <w:r>
              <w:t>Not yet scheduled</w:t>
            </w:r>
          </w:p>
        </w:tc>
        <w:tc>
          <w:tcPr>
            <w:tcW w:type="dxa" w:w="2880"/>
          </w:tcPr>
          <w:p>
            <w:r>
              <w:t>Now set to follow receipt of the draft</w:t>
            </w:r>
          </w:p>
        </w:tc>
      </w:tr>
      <w:tr>
        <w:tc>
          <w:tcPr>
            <w:tcW w:type="dxa" w:w="2880"/>
          </w:tcPr>
          <w:p>
            <w:r>
              <w:t>Engagement fee</w:t>
            </w:r>
          </w:p>
        </w:tc>
        <w:tc>
          <w:tcPr>
            <w:tcW w:type="dxa" w:w="2880"/>
          </w:tcPr>
          <w:p>
            <w:r>
              <w:t>$74,000, fixed, as set out in the engagement letter; first part invoiced on signature, balance due on delivery of the opinion</w:t>
            </w:r>
          </w:p>
        </w:tc>
        <w:tc>
          <w:tcPr>
            <w:tcW w:type="dxa" w:w="2880"/>
          </w:tcPr>
          <w:p>
            <w:r>
              <w:t>Unchanged; the delay does not affect it</w:t>
            </w:r>
          </w:p>
        </w:tc>
      </w:tr>
      <w:tr>
        <w:tc>
          <w:tcPr>
            <w:tcW w:type="dxa" w:w="2880"/>
          </w:tcPr>
          <w:p>
            <w:r>
              <w:t>Expenses</w:t>
            </w:r>
          </w:p>
        </w:tc>
        <w:tc>
          <w:tcPr>
            <w:tcW w:type="dxa" w:w="2880"/>
          </w:tcPr>
          <w:p>
            <w:r>
              <w:t>Within the categories the engagement letter allows, chiefly travel to the management sessions</w:t>
            </w:r>
          </w:p>
        </w:tc>
        <w:tc>
          <w:tcPr>
            <w:tcW w:type="dxa" w:w="2880"/>
          </w:tcPr>
          <w:p>
            <w:r>
              <w:t>None incurred because of the delay</w:t>
            </w:r>
          </w:p>
        </w:tc>
      </w:tr>
    </w:tbl>
    <w:p>
      <w:pPr>
        <w:pStyle w:val="Heading2"/>
      </w:pPr>
      <w:r>
        <w:t>For the board to decide before our next report</w:t>
      </w:r>
    </w:p>
    <w:p>
      <w:r>
        <w:t>The board needs to decide whether the preliminary review goes ahead at its next meeting on the strength of the term sheet, or waits for the draft agreement. We recommend going ahead, because the method and the ranges do not depend on the drafting, the board will see the downside case well before it has to weigh the opinion, and any change the draft makes to the consideration can come back to the board as a short update rather than as a second review. If the board would rather wait, it should do so knowing that the committee review, and with it the delivery of the opinion, will move by however long the draft is late.</w:t>
      </w:r>
    </w:p>
    <w:p>
      <w:r>
        <w:t>The board should also tell us whether it wants the downside case in the opinion presentation itself or only at the preliminary review; we see merit in either and will follow the board's preference. Once we have its answer, Richard Mccoy will fix the date of the preliminary review with you, and my next report will follow it.</w:t>
      </w:r>
    </w:p>
    <w:p>
      <w:r>
        <w:t>For Heather Miller, Chief Operating Officer. From Sandra Norman, Advisory Associate, with Richard Mccoy and Melissa Jacobson.</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F3A5F"/>
        <w:sz w:val="28"/>
      </w:rPr>
      <w:t>Quillon Harbor Advisors LLC</w:t>
    </w:r>
  </w:p>
  <w:p>
    <w:r>
      <w:rPr>
        <w:sz w:val="18"/>
      </w:rPr>
      <w:t>www.quillonharbor.com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Quillon Harbor Advisors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Status Report: Fairness Opinion for Hamilton PLC</dc:title>
  <dc:subject/>
  <dc:creator>Sandra Norman</dc:creator>
  <cp:keywords/>
  <dc:description>generated by python-docx</dc:description>
  <cp:lastModifiedBy>Sandra Norman</cp:lastModifiedBy>
  <cp:revision>1</cp:revision>
  <dcterms:created xsi:type="dcterms:W3CDTF">2021-10-26T09:00:00Z</dcterms:created>
  <dcterms:modified xsi:type="dcterms:W3CDTF">2021-10-26T09:00:00Z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