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Hamilton PLC fairness opinion</w:t>
      </w:r>
    </w:p>
    <w:p>
      <w:pPr>
        <w:pStyle w:val="Heading2"/>
      </w:pPr>
      <w:r>
        <w:t>Present</w:t>
      </w:r>
    </w:p>
    <w:p>
      <w:pPr>
        <w:pStyle w:val="ListBullet"/>
      </w:pPr>
      <w:r>
        <w:t>Heather Miller, Chief Operating Officer, Hamilton PLC</w:t>
      </w:r>
    </w:p>
    <w:p>
      <w:pPr>
        <w:pStyle w:val="ListBullet"/>
      </w:pPr>
      <w:r>
        <w:t>Richard Mccoy, Partner, Quillon Harbor Advisors (chair)</w:t>
      </w:r>
    </w:p>
    <w:p>
      <w:pPr>
        <w:pStyle w:val="ListBullet"/>
      </w:pPr>
      <w:r>
        <w:t>Sandra Norman, Advisory Associate, Quillon Harbor Advisors</w:t>
      </w:r>
    </w:p>
    <w:p>
      <w:pPr>
        <w:pStyle w:val="ListBullet"/>
      </w:pPr>
      <w:r>
        <w:t>Melissa Jacobson, Analyst, Quillon Harbor Advisors</w:t>
      </w:r>
    </w:p>
    <w:p>
      <w:pPr>
        <w:pStyle w:val="Heading2"/>
      </w:pPr>
      <w:r>
        <w:t>Discussion</w:t>
      </w:r>
    </w:p>
    <w:p>
      <w:r>
        <w:t>The session reviewed the preliminary valuation work and the items still open before the board's preliminary review. Richard Mccoy chaired and kept these notes. They record what was decided, and the reasons where they matter.</w:t>
      </w:r>
    </w:p>
    <w:p>
      <w:r>
        <w:t>Heather Miller reported that the board has confirmed the stand-alone basis of valuation. The confirmation is minuted. She will send the extract, because the opinion will refer to it. Management has also signed off the replacement cost estimates in the bridge, with one change: the insurance line now uses the broker's quotation in place of our estimate.</w:t>
      </w:r>
    </w:p>
    <w:p>
      <w:r>
        <w:t>Melissa Jacobson presented the preliminary analyses. The discounted cash flow runs on the board plan, restated to the stand-alone basis. The comparable companies are listed businesses of similar activity and size, identified in the working papers by sector only. The precedent set is thin. Few deals of this size were divisional sales, and prices paid for whole companies are not a clean guide to the price of a carve-out. Richard Mccoy proposed that the discounted cash flow carry the most weight and that the market analyses serve as a check on it. Heather Miller asked whether the board would see all three. It will, each with its range, and the weighting will be explained on the page.</w:t>
      </w:r>
    </w:p>
    <w:p>
      <w:r>
        <w:t>Melissa Jacobson has also run the downside case, which sets the replacement costs above management's estimates. The group agreed to show it beside the base case at the preliminary review, with no conclusion attached to either.</w:t>
      </w:r>
    </w:p>
    <w:p>
      <w:r>
        <w:t>Sandra Norman reported on the information request. Everything asked for has arrived except the draft sale agreement and the transitional services schedule. Both are with the buyer's counsel. Heather Miller expects a first draft within two weeks. Until then the only statement of the consideration is the term sheet, which provides for an adjustment to the price at closing for working capital. The opinion must address the consideration as the final agreement defines it. The mechanics of that adjustment therefore have to be read before the committee review.</w:t>
      </w:r>
    </w:p>
    <w:p>
      <w:r>
        <w:t>Richard Mccoy raised the timetable. The preliminary review with the board can proceed on the term sheet. The committee review cannot. Heather Miller will ask the company's counsel to press the buyer's counsel for the draft.</w:t>
      </w:r>
    </w:p>
    <w:p>
      <w:pPr>
        <w:pStyle w:val="Heading2"/>
      </w:pPr>
      <w:r>
        <w:t>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Due</w:t>
            </w:r>
          </w:p>
        </w:tc>
      </w:tr>
      <w:tr>
        <w:tc>
          <w:tcPr>
            <w:tcW w:type="dxa" w:w="2880"/>
          </w:tcPr>
          <w:p>
            <w:r>
              <w:t>Send the minuted extract of the board's confirmation of the valuation basis</w:t>
            </w:r>
          </w:p>
        </w:tc>
        <w:tc>
          <w:tcPr>
            <w:tcW w:type="dxa" w:w="2880"/>
          </w:tcPr>
          <w:p>
            <w:r>
              <w:t>Heather Miller</w:t>
            </w:r>
          </w:p>
        </w:tc>
        <w:tc>
          <w:tcPr>
            <w:tcW w:type="dxa" w:w="2880"/>
          </w:tcPr>
          <w:p>
            <w:r>
              <w:t>This week</w:t>
            </w:r>
          </w:p>
        </w:tc>
      </w:tr>
      <w:tr>
        <w:tc>
          <w:tcPr>
            <w:tcW w:type="dxa" w:w="2880"/>
          </w:tcPr>
          <w:p>
            <w:r>
              <w:t>Ask the company's counsel to press for the first draft of the sale agreement and the transitional services schedule</w:t>
            </w:r>
          </w:p>
        </w:tc>
        <w:tc>
          <w:tcPr>
            <w:tcW w:type="dxa" w:w="2880"/>
          </w:tcPr>
          <w:p>
            <w:r>
              <w:t>Heather Miller</w:t>
            </w:r>
          </w:p>
        </w:tc>
        <w:tc>
          <w:tcPr>
            <w:tcW w:type="dxa" w:w="2880"/>
          </w:tcPr>
          <w:p>
            <w:r>
              <w:t>This week</w:t>
            </w:r>
          </w:p>
        </w:tc>
      </w:tr>
      <w:tr>
        <w:tc>
          <w:tcPr>
            <w:tcW w:type="dxa" w:w="2880"/>
          </w:tcPr>
          <w:p>
            <w:r>
              <w:t>Put the broker's insurance quotation into the bridge and rerun the base and downside cases</w:t>
            </w:r>
          </w:p>
        </w:tc>
        <w:tc>
          <w:tcPr>
            <w:tcW w:type="dxa" w:w="2880"/>
          </w:tcPr>
          <w:p>
            <w:r>
              <w:t>Melissa Jacobson</w:t>
            </w:r>
          </w:p>
        </w:tc>
        <w:tc>
          <w:tcPr>
            <w:tcW w:type="dxa" w:w="2880"/>
          </w:tcPr>
          <w:p>
            <w:r>
              <w:t>Before the preliminary review materials are drafted</w:t>
            </w:r>
          </w:p>
        </w:tc>
      </w:tr>
      <w:tr>
        <w:tc>
          <w:tcPr>
            <w:tcW w:type="dxa" w:w="2880"/>
          </w:tcPr>
          <w:p>
            <w:r>
              <w:t>Draft the preliminary review materials, showing all three analyses with their ranges and no conclusion</w:t>
            </w:r>
          </w:p>
        </w:tc>
        <w:tc>
          <w:tcPr>
            <w:tcW w:type="dxa" w:w="2880"/>
          </w:tcPr>
          <w:p>
            <w:r>
              <w:t>Melissa Jacobson, with Richard Mccoy</w:t>
            </w:r>
          </w:p>
        </w:tc>
        <w:tc>
          <w:tcPr>
            <w:tcW w:type="dxa" w:w="2880"/>
          </w:tcPr>
          <w:p>
            <w:r>
              <w:t>Before the preliminary review</w:t>
            </w:r>
          </w:p>
        </w:tc>
      </w:tr>
      <w:tr>
        <w:tc>
          <w:tcPr>
            <w:tcW w:type="dxa" w:w="2880"/>
          </w:tcPr>
          <w:p>
            <w:r>
              <w:t>Keep the request log current and confirm the outstanding items to the company in writing</w:t>
            </w:r>
          </w:p>
        </w:tc>
        <w:tc>
          <w:tcPr>
            <w:tcW w:type="dxa" w:w="2880"/>
          </w:tcPr>
          <w:p>
            <w:r>
              <w:t>Sandra Norman</w:t>
            </w:r>
          </w:p>
        </w:tc>
        <w:tc>
          <w:tcPr>
            <w:tcW w:type="dxa" w:w="2880"/>
          </w:tcPr>
          <w:p>
            <w:r>
              <w:t>Each Friday</w:t>
            </w:r>
          </w:p>
        </w:tc>
      </w:tr>
      <w:tr>
        <w:tc>
          <w:tcPr>
            <w:tcW w:type="dxa" w:w="2880"/>
          </w:tcPr>
          <w:p>
            <w:r>
              <w:t>Read the draft sale agreement and report on the definition of the consideration and the working capital adjustment</w:t>
            </w:r>
          </w:p>
        </w:tc>
        <w:tc>
          <w:tcPr>
            <w:tcW w:type="dxa" w:w="2880"/>
          </w:tcPr>
          <w:p>
            <w:r>
              <w:t>Richard Mccoy and Sandra Norman</w:t>
            </w:r>
          </w:p>
        </w:tc>
        <w:tc>
          <w:tcPr>
            <w:tcW w:type="dxa" w:w="2880"/>
          </w:tcPr>
          <w:p>
            <w:r>
              <w:t>Within days of receipt</w:t>
            </w:r>
          </w:p>
        </w:tc>
      </w:tr>
    </w:tbl>
    <w:p>
      <w:r>
        <w:t>The preliminary review is the next fixed point. Richard Mccoy will propose a date for it to Heather Miller once the materials are in draft.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Fairness Opinion for Hamilton PLC</dc:title>
  <dc:subject/>
  <dc:creator>Richard Mccoy</dc:creator>
  <cp:keywords/>
  <dc:description>generated by python-docx</dc:description>
  <cp:lastModifiedBy>Richard Mccoy</cp:lastModifiedBy>
  <cp:revision>1</cp:revision>
  <dcterms:created xsi:type="dcterms:W3CDTF">2021-10-11T09:00:00Z</dcterms:created>
  <dcterms:modified xsi:type="dcterms:W3CDTF">2021-10-11T09:00:00Z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