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Decision at Stake: Which Path the Shareholders of Ingram, Bowers and Roth Take Next</w:t>
      </w:r>
    </w:p>
    <w:p>
      <w:r>
        <w:t>To: Heather Delacruz, Jennifer Bruce, Sandra Norman</w:t>
        <w:br/>
        <w:t>From: John Bauer</w:t>
        <w:br/>
        <w:t>Re: Ingram, Bowers and Roth, strategic alternatives review, kickoff</w:t>
      </w:r>
    </w:p>
    <w:p>
      <w:r>
        <w:t>The engagement began on June 19, 2023. What the shareholders want from it is a recommendation they can act on, and everything we do between now and then should answer one of four questions. What does the company actually earn once owner compensation, related-party costs and one-time items are normalized? What is it worth under present ownership if management delivers its plan, and if it does not? How do the 6 strategic options in the engagement letter compare with that standalone value, after tax and after what each would ask of the shareholders? And which one do we recommend, on what conditions?</w:t>
      </w:r>
    </w:p>
    <w:p>
      <w:pPr>
        <w:pStyle w:val="ListBullet"/>
      </w:pPr>
      <w:r>
        <w:t>Normalized earnings. Jennifer Bruce builds the bridge from reported to adjusted earnings, one item at a time, with each add-back tied to a source document. The likely items are owner compensation above a market salary, related-party costs, and anything management calls one-time. Sandra Norman runs the information request through Karen Lawrence and keeps the response tracker, so we work only from documents we have in hand. Anything we cannot document stays out of the adjusted figure until we can.</w:t>
      </w:r>
    </w:p>
    <w:p>
      <w:pPr>
        <w:pStyle w:val="ListBullet"/>
      </w:pPr>
      <w:r>
        <w:t>Standalone value. Jennifer Bruce and I build the standalone model on management's plan and on a lower case of our own. The lower case is not a forecast. It shows what the business is worth if growth runs at its own historical pace and not at the plan's. I prepare the comparable company set and the precedent transaction screen. We value the business on both cases, so the shareholders see a range and not a single point.</w:t>
      </w:r>
    </w:p>
    <w:p>
      <w:pPr>
        <w:pStyle w:val="ListBullet"/>
      </w:pPr>
      <w:r>
        <w:t>The alternatives. For each one we estimate the value to the shareholders, the conditions it depends on, and what it asks of them in time, control and continued involvement. The shareholders' agreement matters here, since its transfer provisions may rule some paths in or out, and Sandra Norman has it near the top of the request. Heather Delacruz sets the framing. I draft the comparison pages and Jennifer Bruce checks them against the model.</w:t>
      </w:r>
    </w:p>
    <w:p>
      <w:pPr>
        <w:pStyle w:val="ListBullet"/>
      </w:pPr>
      <w:r>
        <w:t>The recommendation. Heather Delacruz takes the analysis to a single recommended path, with the reasons the others rank lower. It goes to Karen Lawrence in draft before it goes to the shareholders.</w:t>
      </w:r>
    </w:p>
    <w:p>
      <w:r>
        <w:t>Some things are out of scope, and it is worth saying so now. We do not contact buyers, investors or lenders about the company without the shareholders' written approval. When we need a view of how the market would receive a course, it comes from our own conversations, with the company described by sector and size only. We do not provide a quality-of-earnings report, tax advice or legal advice; where those questions come up, we note them for the company's accountants and counsel. We are not running a sale process. If the shareholders choose a transaction, that is a separate mandate under a separate letter.</w:t>
      </w:r>
    </w:p>
    <w:p>
      <w:r>
        <w:t>A few working rules, so we are consistent from the start. Every request to the company goes through Karen Lawrence, and Sandra Norman logs it before it goes. Nothing leaves the office with the company's name on it unless it is going to Karen or the shareholders. I draft the monthly status report, and Heather Delacruz reads it before it is sent.</w:t>
      </w:r>
    </w:p>
    <w:p>
      <w:r>
        <w:t>Next step: I will send Jennifer Bruce draft screening criteria for the comparable set, so we can agree them before the first data from the company arrives.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Strategic Alternatives Review for Ingram, Bowers and Roth</dc:title>
  <dc:subject/>
  <dc:creator>John Bauer</dc:creator>
  <cp:keywords/>
  <dc:description>generated by python-docx</dc:description>
  <cp:lastModifiedBy>John Bauer</cp:lastModifiedBy>
  <cp:revision>1</cp:revision>
  <dcterms:created xsi:type="dcterms:W3CDTF">2023-06-22T09:00:00Z</dcterms:created>
  <dcterms:modified xsi:type="dcterms:W3CDTF">2023-06-22T09:00:00Z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