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Late August to Mid-September: Strategic Alternatives Review for Ingram, Bowers and Roth</w:t>
      </w:r>
    </w:p>
    <w:p>
      <w:r>
        <w:t>To: Karen Lawrence, Chief Operating Officer, Ingram, Bowers and Roth</w:t>
        <w:br/>
        <w:t>From: John Bauer</w:t>
        <w:br/>
        <w:t>Cc: Heather Delacruz, Jennifer Bruce, Sandra Norman</w:t>
      </w:r>
    </w:p>
    <w:p>
      <w:r>
        <w:t>We are at the midpoint of the review and close to plan, with one item running about a week behind. The diagnostic of historical results is complete. The bridge from reported to adjusted earnings is final except for the related-party occupancy costs, where we still await the accountants' view. The standalone model is built on management's plan and on our lower case. Its valuation is the late item, because it depends on that last add-back. We also held two working sessions with management on the plan's assumptions, and those sessions shaped the lower case more than anything else this period.</w:t>
      </w:r>
    </w:p>
    <w:p>
      <w:r>
        <w:t>We have narrowed the trading analysis to 23 comparable companies, after removing businesses whose service mix or size made them a poor guide, and the precedent transaction screen is in draft. Every item on the information request is now in except the client-level revenue data, which Karen Lawrence expects from the finance staff shortly. We have begun measuring 6 strategic options against the standalone case, starting with the information each one needs from the shareholders' agreement. Fees billed to date are within the fixed fee of $118,000 set in the engagement letter, and we do not expect that to change.</w:t>
      </w:r>
    </w:p>
    <w:p>
      <w:pPr>
        <w:pStyle w:val="ListBullet"/>
      </w:pPr>
      <w:r>
        <w:t>Related-party add-back. Owner: Jennifer Bruce. Trigger: the accountants decline to support treating the occupancy costs as an add-back. Adjusted earnings would fall, and so would every value built on them.</w:t>
      </w:r>
    </w:p>
    <w:p>
      <w:pPr>
        <w:pStyle w:val="ListBullet"/>
      </w:pPr>
      <w:r>
        <w:t>Consents under the shareholders' agreement. Owner: Heather Delacruz. Trigger: our reading of the transfer and buy-sell provisions shows that an alternative needs consents some shareholders may not give. That alternative would then carry a condition, or come off the list.</w:t>
      </w:r>
    </w:p>
    <w:p>
      <w:pPr>
        <w:pStyle w:val="ListBullet"/>
      </w:pPr>
      <w:r>
        <w:t>Client relationships held by the shareholders. Owner: John Bauer. Trigger: the client-level revenue data shows a large share of revenue resting on relationships the shareholders hold personally. Buyers would discount for it or ask for deferred consideration, and any sale path would need a transition plan for those relationships.</w:t>
      </w:r>
    </w:p>
    <w:p>
      <w:pPr>
        <w:pStyle w:val="ListBullet"/>
      </w:pPr>
      <w:r>
        <w:t>Financing conditions. Owner: Jennifer Bruce. Trigger: lenders tighten terms further for sponsor-backed acquisitions of businesses this size. A financial buyer would then pay less, and the gap between financial and strategic buyers would widen.</w:t>
      </w:r>
    </w:p>
    <w:p>
      <w:pPr>
        <w:pStyle w:val="ListBullet"/>
      </w:pPr>
      <w:r>
        <w:t>Information timing. Owner: Sandra Norman. Trigger: the client-level revenue data is still outstanding two weeks from now. The assessment of the alternatives would slip by the same amount.</w:t>
      </w:r>
    </w:p>
    <w:p>
      <w:pPr>
        <w:pStyle w:val="ListBullet"/>
      </w:pPr>
      <w:r>
        <w:t>Confidentiality. Owner: Heather Delacruz. Trigger: any sign that word of the review has reached employees or clients. We would agree a holding statement with you the same day.</w:t>
      </w:r>
    </w:p>
    <w:p>
      <w:r>
        <w:t>Four things moved since the last report. The shareholders' agreement arrived, so the information risk is down to one item, the client-level revenue data, and Sandra Norman has it at the top of the tracker. The add-back risk is narrower than it was, because the accountants accepted the one-time items, but it is not closed while the occupancy costs are open.</w:t>
      </w:r>
    </w:p>
    <w:p>
      <w:r>
        <w:t>We also retired one risk. The last report carried the credibility of management's plan as an open item. After the working sessions we are satisfied that the plan's early years track the company's recent results. The later years remain the main sensitivity, and the lower case is where we have put that doubt, so it no longer needs a line of its own.</w:t>
      </w:r>
    </w:p>
    <w:p>
      <w:r>
        <w:t>Financing conditions is new to the list. We added it after our conversations with lenders this month, in which the company was described by sector and size only. Borrowing costs have stayed high, and lenders are asking for more equity in sponsor deals of this size than they did a year ago. That bears on the sale alternatives, not on the standalone case.</w:t>
      </w:r>
    </w:p>
    <w:p>
      <w:r>
        <w:t>For the coming period, Jennifer Bruce finishes the standalone valuation once the occupancy question is answered, and I finish the precedent screen and the first pass at each alternative against the standalone case. Heather Delacruz reviews the framing of the alternatives before any of it comes to you, and Sandra Norman keeps the tracker current in the meantime.</w:t>
      </w:r>
    </w:p>
    <w:p>
      <w:r>
        <w:t>Next step: we will take you through the draft standalone valuation at our next working session, and I will send you the pages two days before it.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Strategic Alternatives Review for Ingram, Bowers and Roth</dc:title>
  <dc:subject/>
  <dc:creator>John Bauer</dc:creator>
  <cp:keywords/>
  <dc:description>generated by python-docx</dc:description>
  <cp:lastModifiedBy>John Bauer</cp:lastModifiedBy>
  <cp:revision>1</cp:revision>
  <dcterms:created xsi:type="dcterms:W3CDTF">2023-09-17T09:00:00Z</dcterms:created>
  <dcterms:modified xsi:type="dcterms:W3CDTF">2023-09-17T09:00:00Z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