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Working Session Minutes: Ingram, Bowers and Roth, Strategic Alternatives Review</w:t>
      </w:r>
    </w:p>
    <w:p>
      <w:pPr>
        <w:pStyle w:val="ListBullet"/>
      </w:pPr>
      <w:r>
        <w:t>Karen Lawrence, Chief Operating Officer, Ingram, Bowers and Roth</w:t>
      </w:r>
    </w:p>
    <w:p>
      <w:pPr>
        <w:pStyle w:val="ListBullet"/>
      </w:pPr>
      <w:r>
        <w:t>Heather Delacruz, Managing Partner</w:t>
      </w:r>
    </w:p>
    <w:p>
      <w:pPr>
        <w:pStyle w:val="ListBullet"/>
      </w:pPr>
      <w:r>
        <w:t>Jennifer Bruce, Advisory Associate</w:t>
      </w:r>
    </w:p>
    <w:p>
      <w:pPr>
        <w:pStyle w:val="ListBullet"/>
      </w:pPr>
      <w:r>
        <w:t>Sandra Norman, Advisory Associate</w:t>
      </w:r>
    </w:p>
    <w:p>
      <w:pPr>
        <w:pStyle w:val="ListBullet"/>
      </w:pPr>
      <w:r>
        <w:t>John Bauer, Analyst</w:t>
      </w:r>
    </w:p>
    <w:p>
      <w:r>
        <w:t>This was our first working session since the diagnostic of the historical results closed, and its purpose was to settle the earnings base on which every later piece of the review will stand. We took two topics, and these minutes record where each of them landed.</w:t>
      </w:r>
    </w:p>
    <w:p>
      <w:r>
        <w:t>We began with the bridge from reported to adjusted earnings, which Jennifer Bruce walked through line by line, and most of the session's time went to the few items that turn on how the shareholders have chosen to pay themselves and to house the business. She was careful, as she always is, to keep the reported figures and the adjusted ones in separate columns of the discussion, so that each adjustment could be argued on its own merits and none of them disappeared into a total.</w:t>
      </w:r>
    </w:p>
    <w:p>
      <w:r>
        <w:t>Karen Lawrence was comfortable with the treatment of owner compensation above a market salary, but asked that the related-party occupancy costs and the items management regards as one-time be held as provisional until the company's outside accountants have given their view. We agreed that the bridge would go forward on that basis, with the provisional items shown on their own lines so that no one mistakes them for settled figures.</w:t>
      </w:r>
    </w:p>
    <w:p>
      <w:r>
        <w:t>The second topic was the information request, where Sandra Norman took us through what has arrived, what has been partly answered, and what is still outstanding, item by item and in the order of the original list. The monthly management accounts and the payroll summary are in and reconcile to the annual statements, the client contract files are partly answered, and the client-level revenue data has been promised by the finance staff but not yet sent.</w:t>
      </w:r>
    </w:p>
    <w:p>
      <w:r>
        <w:t>The gap that matters most is the shareholders' agreement, since its transfer and buy-sell provisions bear directly on which of the alternatives are practical at all. Karen Lawrence undertook to obtain a copy from the company's counsel, and we agreed that the assessment of the alternatives should not begin in earnest until we have read it, while the client-level revenue data can follow behind it without holding anything up.</w:t>
      </w:r>
    </w:p>
    <w:p>
      <w:r>
        <w:t>Out of the session, Jennifer Bruce will revise the bridge to carry the provisional items separately and hold it open for the accountants' view, which Karen Lawrence will seek alongside the shareholders' agreement. Sandra Norman will send Karen an updated response tracker so that both sides are working from the same list, and John Bauer will extend the comparable company set and begin the precedent transaction screen, which he expects to have in draft for our next session. I will set out the framework for comparing the alternatives in the next status report, and when we meet again the first item on the agenda will be the revised bridge.</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1F3A5F"/>
        <w:sz w:val="28"/>
      </w:rPr>
      <w:t>Quillon Harbor Advisors LLC</w:t>
    </w:r>
  </w:p>
  <w:p>
    <w:r>
      <w:rPr>
        <w:sz w:val="18"/>
      </w:rPr>
      <w:t>www.quillonharbor.com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Quillon Harbor Advisors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Meeting Minutes: Strategic Alternatives Review for Ingram, Bowers and Roth</dc:title>
  <dc:subject/>
  <dc:creator>Heather Delacruz</dc:creator>
  <cp:keywords/>
  <dc:description>generated by python-docx</dc:description>
  <cp:lastModifiedBy>Heather Delacruz</cp:lastModifiedBy>
  <cp:revision>1</cp:revision>
  <dcterms:created xsi:type="dcterms:W3CDTF">2023-08-30T09:00:00Z</dcterms:created>
  <dcterms:modified xsi:type="dcterms:W3CDTF">2023-08-30T09:00:00Z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