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Workstream</w:t>
            </w:r>
          </w:p>
        </w:tc>
        <w:tc>
          <w:tcPr>
            <w:tcW w:type="dxa" w:w="2160"/>
          </w:tcPr>
          <w:p>
            <w:r>
              <w:rPr>
                <w:b/>
              </w:rPr>
              <w:t>Owner</w:t>
            </w:r>
          </w:p>
        </w:tc>
        <w:tc>
          <w:tcPr>
            <w:tcW w:type="dxa" w:w="2160"/>
          </w:tcPr>
          <w:p>
            <w:r>
              <w:rPr>
                <w:b/>
              </w:rPr>
              <w:t>First output</w:t>
            </w:r>
          </w:p>
        </w:tc>
        <w:tc>
          <w:tcPr>
            <w:tcW w:type="dxa" w:w="2160"/>
          </w:tcPr>
          <w:p>
            <w:r>
              <w:rPr>
                <w:b/>
              </w:rPr>
              <w:t>What we need from the company</w:t>
            </w:r>
          </w:p>
        </w:tc>
      </w:tr>
      <w:tr>
        <w:tc>
          <w:tcPr>
            <w:tcW w:type="dxa" w:w="2160"/>
          </w:tcPr>
          <w:p>
            <w:r>
              <w:t>1. Diagnostic and model</w:t>
            </w:r>
          </w:p>
        </w:tc>
        <w:tc>
          <w:tcPr>
            <w:tcW w:type="dxa" w:w="2160"/>
          </w:tcPr>
          <w:p>
            <w:r>
              <w:t>Robert Turner</w:t>
            </w:r>
          </w:p>
        </w:tc>
        <w:tc>
          <w:tcPr>
            <w:tcW w:type="dxa" w:w="2160"/>
          </w:tcPr>
          <w:p>
            <w:r>
              <w:t>Integrated model tied to the monthly management accounts and the existing debt schedule</w:t>
            </w:r>
          </w:p>
        </w:tc>
        <w:tc>
          <w:tcPr>
            <w:tcW w:type="dxa" w:w="2160"/>
          </w:tcPr>
          <w:p>
            <w:r>
              <w:t>Monthly accounts for the last three fiscal years and year to date; current budget; the bank facility agreement</w:t>
            </w:r>
          </w:p>
        </w:tc>
      </w:tr>
      <w:tr>
        <w:tc>
          <w:tcPr>
            <w:tcW w:type="dxa" w:w="2160"/>
          </w:tcPr>
          <w:p>
            <w:r>
              <w:t>2. Capital structure paper</w:t>
            </w:r>
          </w:p>
        </w:tc>
        <w:tc>
          <w:tcPr>
            <w:tcW w:type="dxa" w:w="2160"/>
          </w:tcPr>
          <w:p>
            <w:r>
              <w:t>Heather Delacruz</w:t>
            </w:r>
          </w:p>
        </w:tc>
        <w:tc>
          <w:tcPr>
            <w:tcW w:type="dxa" w:w="2160"/>
          </w:tcPr>
          <w:p>
            <w:r>
              <w:t>Written comparison of a senior-only financing with a senior and junior combination, with a recommendation</w:t>
            </w:r>
          </w:p>
        </w:tc>
        <w:tc>
          <w:tcPr>
            <w:tcW w:type="dxa" w:w="2160"/>
          </w:tcPr>
          <w:p>
            <w:r>
              <w:t>The shareholders' objectives on liquidity and control, gathered through Robert Grimes</w:t>
            </w:r>
          </w:p>
        </w:tc>
      </w:tr>
      <w:tr>
        <w:tc>
          <w:tcPr>
            <w:tcW w:type="dxa" w:w="2160"/>
          </w:tcPr>
          <w:p>
            <w:r>
              <w:t>3. Financing memorandum and data room</w:t>
            </w:r>
          </w:p>
        </w:tc>
        <w:tc>
          <w:tcPr>
            <w:tcW w:type="dxa" w:w="2160"/>
          </w:tcPr>
          <w:p>
            <w:r>
              <w:t>Robert Turner</w:t>
            </w:r>
          </w:p>
        </w:tc>
        <w:tc>
          <w:tcPr>
            <w:tcW w:type="dxa" w:w="2160"/>
          </w:tcPr>
          <w:p>
            <w:r>
              <w:t>Draft memorandum; data room index; short summary for first contact that does not name the company</w:t>
            </w:r>
          </w:p>
        </w:tc>
        <w:tc>
          <w:tcPr>
            <w:tcW w:type="dxa" w:w="2160"/>
          </w:tcPr>
          <w:p>
            <w:r>
              <w:t>Revenue history by customer and product line; fixed asset register; insurance and lease summaries</w:t>
            </w:r>
          </w:p>
        </w:tc>
      </w:tr>
      <w:tr>
        <w:tc>
          <w:tcPr>
            <w:tcW w:type="dxa" w:w="2160"/>
          </w:tcPr>
          <w:p>
            <w:r>
              <w:t>4. Source list and outreach</w:t>
            </w:r>
          </w:p>
        </w:tc>
        <w:tc>
          <w:tcPr>
            <w:tcW w:type="dxa" w:w="2160"/>
          </w:tcPr>
          <w:p>
            <w:r>
              <w:t>Sarah Fletcher</w:t>
            </w:r>
          </w:p>
        </w:tc>
        <w:tc>
          <w:tcPr>
            <w:tcW w:type="dxa" w:w="2160"/>
          </w:tcPr>
          <w:p>
            <w:r>
              <w:t>Proposed list of 46 financing sources, grouped into senior and junior capital, for the shareholders' approval</w:t>
            </w:r>
          </w:p>
        </w:tc>
        <w:tc>
          <w:tcPr>
            <w:tcW w:type="dxa" w:w="2160"/>
          </w:tcPr>
          <w:p>
            <w:r>
              <w:t>Any lenders the shareholders want included or left out, and the history of the existing bank relationship</w:t>
            </w:r>
          </w:p>
        </w:tc>
      </w:tr>
      <w:tr>
        <w:tc>
          <w:tcPr>
            <w:tcW w:type="dxa" w:w="2160"/>
          </w:tcPr>
          <w:p>
            <w:r>
              <w:t>5. Client coordination</w:t>
            </w:r>
          </w:p>
        </w:tc>
        <w:tc>
          <w:tcPr>
            <w:tcW w:type="dxa" w:w="2160"/>
          </w:tcPr>
          <w:p>
            <w:r>
              <w:t>Heather Delacruz, with Robert Grimes</w:t>
            </w:r>
          </w:p>
        </w:tc>
        <w:tc>
          <w:tcPr>
            <w:tcW w:type="dxa" w:w="2160"/>
          </w:tcPr>
          <w:p>
            <w:r>
              <w:t>Weekly call agenda and decision log</w:t>
            </w:r>
          </w:p>
        </w:tc>
        <w:tc>
          <w:tcPr>
            <w:tcW w:type="dxa" w:w="2160"/>
          </w:tcPr>
          <w:p>
            <w:r>
              <w:t>A standing hour each week with Robert Grimes</w:t>
            </w:r>
          </w:p>
        </w:tc>
      </w:tr>
    </w:tbl>
    <w:p>
      <w:r>
        <w:t>The table above is the division of labor for the Lawson, Keller and Owens recapitalization, which formally began on July 5, 2016, and the split follows the order in which the shareholders will have to make decisions, not the order that would be most convenient for us. Heather Delacruz owns the structure paper because the choice between senior debt alone and a senior and junior combination belongs to the shareholders, and she is the one who will put it to them. I have kept the model and the memorandum together because every figure in the memorandum has to come out of the model, and the simplest way to make sure the two never disagree is to have one person answer for both.</w:t>
      </w:r>
    </w:p>
    <w:p>
      <w:r>
        <w:t>Sarah Fletcher takes the source list now, weeks before anyone can be called, because a good list takes that long to build and to check against what the shareholders want, and because we need to understand the existing bank's position before we decide where it sits in the order of approach. Coordination runs through Robert Grimes alone, at his request, so that information requests do not land on staff at the company who have not been told about the process. The same caution applies to us: until a source has signed a confidentiality agreement, the company is described by sector and revenue band in everything we send, including our own emails to lenders, and the name stays in the files on our side.</w:t>
      </w:r>
    </w:p>
    <w:p>
      <w:r>
        <w:t>The sequencing constraint is easy to state and easy to lose sight of under deadline: nothing goes to any financing source until three things have happened, in this order. The model has to reconcile to the monthly accounts before the structure paper can be finished, the shareholders have to choose a structure before the memorandum can be written past the business description, and the memorandum and the list both have to be approved before Sarah makes a first call. Workstreams 3 and 4 can and should run alongside 1 and 2 up to that point, but drafts stay inside the team, and Sarah has asked me to record that a finished list is not the same thing as permission to use it.</w:t>
      </w:r>
    </w:p>
    <w:p>
      <w:r>
        <w:t>With two Roberts on the weekly call, I will answer to Turner. What I need back, by Wednesday, is any correction to the owners or the dependencies above from each of you, and from Heather the shareholders' objectives as Robert Grimes has described them, so that the model work starts against a fixed plan.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Recapitalization Advisory for Lawson, Keller and Owens</dc:title>
  <dc:subject/>
  <dc:creator>Robert Turner</dc:creator>
  <cp:keywords/>
  <dc:description>generated by python-docx</dc:description>
  <cp:lastModifiedBy>Robert Turner</cp:lastModifiedBy>
  <cp:revision>1</cp:revision>
  <dcterms:created xsi:type="dcterms:W3CDTF">2016-07-08T09:00:00Z</dcterms:created>
  <dcterms:modified xsi:type="dcterms:W3CDTF">2016-07-08T09:00:00Z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