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v1 -- superseded; retained for reference</w:t>
      </w:r>
    </w:p>
    <w:p>
      <w:pPr>
        <w:pStyle w:val="Heading1"/>
      </w:pPr>
      <w:r>
        <w:t>Status Report on the Lawson, Keller and Owens Recapitalization: the Two Weeks Following the Working Session</w:t>
      </w:r>
    </w:p>
    <w:p>
      <w:r>
        <w:t>Prepared by Robert Turner, Associate, for Robert Grimes, General Manager. Confidential.</w:t>
      </w:r>
    </w:p>
    <w:p>
      <w:r>
        <w:t>This report covers the two weeks since the working session, at which the shareholders confirmed the structure and approved both the financing memorandum, subject to two changes, and the source list. Against the plan in our engagement letter, the work has kept its order and at one point run ahead of its timing. Both changes were made before the first call was placed; Sarah Fletcher began calls on the Monday after the session, senior lenders first and junior funds a few days behind them; and the memorandum and the data room have gone only to sources that signed a confidentiality agreement, every first call having described the business by sector and revenue band alone.</w:t>
      </w:r>
    </w:p>
    <w:p>
      <w:r>
        <w:t>The point at which we ran ahead is the arrival of written terms. At the close of business last Friday, Sarah Fletcher's contact log showed 18 lenders approached and 4 term sheets received. The letter expected written proposals only after management meetings; they came sooner because the memorandum and the model answered most of what a lender would ordinarily keep for a first meeting. The existing bank's terms are among those received, as Heather Delacruz expected after her call to its relationship manager. Every term sheet is indicative, written on the memorandum alone and subject to the lender's own diligence and credit approval, and Sarah Fletcher has told each source that management meetings will be offered on the strength of the written terms already received, so the first round is in practice closed. The senior terms fall within the pricing and leverage ranges we drew from 19 comparable financings for the briefing deck, and they differ more on amortization and covenants than on price; the junior terms cost more, as we told the shareholders they would, and the pressing on price that was the condition of their accepting a junior tranche has begun.</w:t>
      </w:r>
    </w:p>
    <w:p>
      <w:r>
        <w:t>The second half of the engagement follows the order the letter set out, with one change that works in the shareholders' favor: since terms are in hand before any meeting, management meetings can go only to lenders whose terms justify the time, which meets Robert Grimes's request that the shareholders give up as few working days as possible. After the meetings we will ask each lender still in the process for a final proposal by a common date, put a comparison and our recommendation to the shareholders, and support you and the company's counsel through the commitment letters, the lenders' confirmatory diligence and the credit documents to closing. The approved source list stands at 46 financing sources, and nothing in these two weeks argues for adding to it. The engagement is within budget: the fee of $108,500 in our engagement letter is unchanged, the second installment was invoiced on release of the memorandum as the letter provides, and we have incurred no expense out of the ordinary.</w:t>
      </w:r>
    </w:p>
    <w:p>
      <w:pPr>
        <w:pStyle w:val="ListBullet"/>
      </w:pPr>
      <w:r>
        <w:t>(1) Terms that move after the meetings. Owner: Sarah Fletcher. Trigger: a lender proposing terms materially worse than its term sheet without pointing to anything it learned from management; we would tell it so in writing and advise the shareholders whether it stays in the process.</w:t>
      </w:r>
    </w:p>
    <w:p>
      <w:pPr>
        <w:pStyle w:val="ListBullet"/>
      </w:pPr>
      <w:r>
        <w:t>(2) Current trading. Owner: Robert Grimes. Trigger: August accounts showing margin below the model's forecast; we would restate the model and send the revised figures to every lender in the data room before its meeting.</w:t>
      </w:r>
    </w:p>
    <w:p>
      <w:pPr>
        <w:pStyle w:val="ListBullet"/>
      </w:pPr>
      <w:r>
        <w:t>(3) Junior pricing and conditions. Owner: Heather Delacruz. Trigger: a junior provider that will not move on price after its meeting, or that asks for warrants or a board seat; we would put the senior-only alternative back before the shareholders before anything further is agreed.</w:t>
      </w:r>
    </w:p>
    <w:p>
      <w:pPr>
        <w:pStyle w:val="ListBullet"/>
      </w:pPr>
      <w:r>
        <w:t>(4) Payoff of the existing facility. Owner: Heather Delacruz. Trigger: no written payoff terms from the existing bank by the time we recommend a lender; the company's counsel would then request them formally, whichever way the bank's own bid goes.</w:t>
      </w:r>
    </w:p>
    <w:p>
      <w:pPr>
        <w:pStyle w:val="ListBullet"/>
      </w:pPr>
      <w:r>
        <w:t>(5) Confidentiality during lender visits. Owner: Robert Grimes. Trigger: a lender asking to see the site during working hours; we would hold the visit before the working day begins, attended only by people who already know of the process.</w:t>
      </w:r>
    </w:p>
    <w:p>
      <w:pPr>
        <w:pStyle w:val="ListBullet"/>
      </w:pPr>
      <w:r>
        <w:t>(6) The September timetable. Owner: Robert Turner. Trigger: meetings that cannot all be held within the days Robert Grimes has reserved; the date for final proposals would move, and every lender would hear the new date from us on the same day.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Recapitalization Advisory for Lawson, Keller and Owens (v1)</dc:title>
  <dc:subject/>
  <dc:creator>Robert Turner</dc:creator>
  <cp:keywords/>
  <dc:description>generated by python-docx</dc:description>
  <cp:lastModifiedBy>Robert Turner</cp:lastModifiedBy>
  <cp:revision>1</cp:revision>
  <dcterms:created xsi:type="dcterms:W3CDTF">2016-08-27T09:00:00Z</dcterms:created>
  <dcterms:modified xsi:type="dcterms:W3CDTF">2016-08-27T09:00:00Z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