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on the Lawson, Keller and Owens recapitalization</w:t>
      </w:r>
    </w:p>
    <w:p>
      <w:pPr>
        <w:pStyle w:val="ListBullet"/>
      </w:pPr>
      <w:r>
        <w:t>Robert Grimes, General Manager, Lawson, Keller and Owens</w:t>
      </w:r>
    </w:p>
    <w:p>
      <w:pPr>
        <w:pStyle w:val="ListBullet"/>
      </w:pPr>
      <w:r>
        <w:t>Heather Delacruz, Managing Partner, Quillon Harbor Advisors</w:t>
      </w:r>
    </w:p>
    <w:p>
      <w:pPr>
        <w:pStyle w:val="ListBullet"/>
      </w:pPr>
      <w:r>
        <w:t>Robert Turner, Associate, Quillon Harbor Advisors</w:t>
      </w:r>
    </w:p>
    <w:p>
      <w:pPr>
        <w:pStyle w:val="ListBullet"/>
      </w:pPr>
      <w:r>
        <w:t>Sarah Fletcher, Advisory Associate, Quillon Harbor Advisors</w:t>
      </w:r>
    </w:p>
    <w:p>
      <w:r>
        <w:t>We have put the decisions first, because they are what the shareholders asked to see. Robert Grimes confirmed, on the shareholders' behalf, that the company will take a senior facility and a junior tranche to market together, as we recommended in our briefing earlier this month, and that the existing bank will be invited to bid for the senior facility alongside the other lenders. The financing memorandum was approved for release once the two changes agreed today are made, and the financing source list was approved as presented, with first calls to begin on Monday.</w:t>
      </w:r>
    </w:p>
    <w:p>
      <w:r>
        <w:t>Most of our time went to the junior tranche, and to the shareholders' concern, as Robert Grimes put it, that its price would come straight out of the liquidity they are seeking. We walked through the model's monthly cash flow together, and what settled the question was that the junior piece asks for very little amortization in the months when the business has the least cash to spare, which a senior-only facility of the same total could not offer; the shareholders will accept the higher price on that basis, provided we press hard on it once proposals arrive.</w:t>
      </w:r>
    </w:p>
    <w:p>
      <w:r>
        <w:t>The two changes to the memorandum came from the shareholders' wish to say as little as possible before a lender has committed to the process. They asked that the largest customers be described by industry and length of relationship, not by name, until a lender has signed a confidentiality agreement and met management, and that the section on the existing bank facility say less about its history, and Robert Turner will make both changes. Sarah Fletcher then took us through the order of approach, with senior lenders first and junior funds a few days behind them and every first call describing the company by sector and revenue band only, and we agreed that the existing bank should hear about the process from us before it hears about it from anyone else.</w:t>
      </w:r>
    </w:p>
    <w:p>
      <w:r>
        <w:t>We closed on the timetable. Robert Turner confirmed that releasing the memorandum as the first confidentiality agreements come back keeps outreach within the weeks our engagement letter set aside for it, and Robert Grimes asked that the management meetings be grouped so that the shareholders give up as few working days as possible, which Sarah Fletcher will build into her calls from the start.</w:t>
      </w:r>
    </w:p>
    <w:p>
      <w:pPr>
        <w:pStyle w:val="ListBullet"/>
      </w:pPr>
      <w:r>
        <w:t>Robert Turner: make the two agreed changes to the financing memorandum, load the final version to the data room, and confirm to Robert Grimes that both are done before first calls begin on Monday.</w:t>
      </w:r>
    </w:p>
    <w:p>
      <w:pPr>
        <w:pStyle w:val="ListBullet"/>
      </w:pPr>
      <w:r>
        <w:t>Heather Delacruz: call the existing bank's relationship manager this week, so that the bank hears about the process, and its invitation to bid, from us directly.</w:t>
      </w:r>
    </w:p>
    <w:p>
      <w:pPr>
        <w:pStyle w:val="ListBullet"/>
      </w:pPr>
      <w:r>
        <w:t>Sarah Fletcher: begin first calls to the approved financing sources on Monday using the summary that does not name the company, send the confidentiality agreement to any source that asks for more, and keep the contact log current for the weekly call.</w:t>
      </w:r>
    </w:p>
    <w:p>
      <w:pPr>
        <w:pStyle w:val="ListBullet"/>
      </w:pPr>
      <w:r>
        <w:t>Robert Grimes: hold time in September for management meetings with lenders, and send the July monthly accounts as soon as they are closed.</w:t>
      </w:r>
    </w:p>
    <w:p>
      <w:pPr>
        <w:pStyle w:val="ListBullet"/>
      </w:pPr>
      <w:r>
        <w:t>All of us: our regular weekly call, at which Sarah Fletcher will report on the first week of outreach.</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Recapitalization Advisory for Lawson, Keller and Owens</dc:title>
  <dc:subject/>
  <dc:creator>Heather Delacruz</dc:creator>
  <cp:keywords/>
  <dc:description>generated by python-docx</dc:description>
  <cp:lastModifiedBy>Heather Delacruz</cp:lastModifiedBy>
  <cp:revision>1</cp:revision>
  <dcterms:created xsi:type="dcterms:W3CDTF">2016-08-24T09:00:00Z</dcterms:created>
  <dcterms:modified xsi:type="dcterms:W3CDTF">2016-08-24T09:00:00Z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