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Acquisition Search for Morse PLC</w:t>
      </w:r>
    </w:p>
    <w:p>
      <w:r>
        <w:t>For James Jones, Chief Financial Officer, Morse PLC. From Melissa Jacobson, with Richard Mccoy and Heather Delacruz.</w:t>
      </w:r>
    </w:p>
    <w:p>
      <w:pPr>
        <w:pStyle w:val="Heading2"/>
      </w:pPr>
      <w:r>
        <w:t>Since Our Briefing</w:t>
      </w:r>
    </w:p>
    <w:p>
      <w:r>
        <w:t>The search is at its midpoint and on plan. First calls are done, and the first NDA conversations have started. The period opened with the screen. We closed it against the criteria your board approved and sent you the short list, and you signed it off as it stood. Richard Mccoy then began calling owners in the order we agreed, starting with the accredited calibration laboratories and moving on to the general testing businesses. Every owner heard the same description of the buyer: a strategic acquirer with a serious interest in the sector, not named. Every call went into the contact log the same day. When we met earlier this month we agreed to hold the Morse PLC name until an NDA is signed. That has held up well, and owners have not pressed hard for it. The questions they do ask are about people and plans. Will the staff be kept on? Will the company keep its name with its customers? Will the owner be asked to stay, and for how long? Richard has answered these in general terms and told owners that a fuller answer comes after the NDA. Where an owner asked to hear more, he sent our form of NDA with a short covering note, which Heather Delacruz read before it went out. Some owners said no. Most said it politely, and a few asked us to call again later in the year. We have logged those separately so they are not lost. I kept the owner profiles current as each call came in, so the short list now records what each owner told us as well as what the screen found. The last first calls were made this week, which closes the outreach stage on the schedule we set at kickoff.</w:t>
      </w:r>
    </w:p>
    <w:p>
      <w:pPr>
        <w:pStyle w:val="Heading2"/>
      </w:pPr>
      <w:r>
        <w:t>The Count</w:t>
      </w:r>
    </w:p>
    <w:p>
      <w:r>
        <w:t>The quantities stand as follows. The universe is unchanged at 140 candidate companies; we have added nothing to it since the criteria were approved. Our valuation work still rests on 26 comparable transactions, drawn from the sector and its adjacent services. The screen closed at 67 targets screened. First-call outreach is complete at 31 targets contacted. Each of these is its own measure, and we report each as it stands. A company counts as contacted only when Richard has spoken with the owner directly. A message left with a receptionist does not count, and neither does a letter. On budget, we are working within the fixed fee of $82,000 set in the engagement letter, and nothing in the plan ahead changes that. Expenses so far are modest: industry data licensed for the screen and a little travel. We will raise anything material with you before we incur it, as the letter provides.</w:t>
      </w:r>
    </w:p>
    <w:p>
      <w:pPr>
        <w:pStyle w:val="Heading2"/>
      </w:pPr>
      <w:r>
        <w:t>What Comes Next, and What It Assumes</w:t>
      </w:r>
    </w:p>
    <w:p>
      <w:r>
        <w:t>The next stage is NDAs, then information from the owners who sign, then offers. We expect NDAs to come in over the coming weeks. That expectation rests on three assumptions, and you should see them plainly. The first is that owners now in NDA discussion keep their pace through the summer, when several of them step away from the business for a while. The second is that your board's criteria hold. A change now would send us back to the screen and cost the time the careful start bought us. The third is that Morse PLC can give an owner an indication of value soon after the NDA is signed, because that is the question every owner asks next.</w:t>
      </w:r>
    </w:p>
    <w:p>
      <w:r>
        <w:t>One risk sits outside those assumptions. Several owners told Richard Mccoy that a regional consolidator had been in touch with them this year. None of them described a live offer. But an owner who has been courted once will measure us against that experience, and a slow answer after the NDA would compare badly. That is why the third assumption matters most, and why we would like the board's view on value settled early in the NDA stage.</w:t>
      </w:r>
    </w:p>
    <w:p>
      <w:r>
        <w:t>If the three assumptions hold, we expect to be discussing offers with you in the last weeks of the engagement. If one of them slips, we will tell you which one and what it does to the timetable. The next written report will follow when the NDA stage is complete, and it will carry a short summary of each company that has signed. Before then, Richard Mccoy will call you next week to go through the NDA conversations company by company.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Buy-Side Search for Morse PLC</dc:title>
  <dc:subject/>
  <dc:creator>Melissa Jacobson</dc:creator>
  <cp:keywords/>
  <dc:description>generated by python-docx</dc:description>
  <cp:lastModifiedBy>Melissa Jacobson</cp:lastModifiedBy>
  <cp:revision>1</cp:revision>
  <dcterms:created xsi:type="dcterms:W3CDTF">2015-06-20T09:00:00Z</dcterms:created>
  <dcterms:modified xsi:type="dcterms:W3CDTF">2015-06-20T09:00:00Z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