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Offer Review: Acquisition Search for Morse PLC</w:t>
      </w:r>
    </w:p>
    <w:p>
      <w:pPr>
        <w:pStyle w:val="Heading2"/>
      </w:pPr>
      <w:r>
        <w:t>At the table</w:t>
      </w:r>
    </w:p>
    <w:p>
      <w:pPr>
        <w:pStyle w:val="ListBullet"/>
      </w:pPr>
      <w:r>
        <w:t>Heather Delacruz, Managing Partner</w:t>
      </w:r>
    </w:p>
    <w:p>
      <w:pPr>
        <w:pStyle w:val="ListBullet"/>
      </w:pPr>
      <w:r>
        <w:t>Richard Mccoy, Director</w:t>
      </w:r>
    </w:p>
    <w:p>
      <w:pPr>
        <w:pStyle w:val="ListBullet"/>
      </w:pPr>
      <w:r>
        <w:t>Melissa Jacobson, Analyst</w:t>
      </w:r>
    </w:p>
    <w:p>
      <w:pPr>
        <w:pStyle w:val="ListBullet"/>
      </w:pPr>
      <w:r>
        <w:t>James Jones, Chief Financial Officer, Morse PLC</w:t>
      </w:r>
    </w:p>
    <w:p>
      <w:pPr>
        <w:pStyle w:val="Heading2"/>
      </w:pPr>
      <w:r>
        <w:t>The session, as it ran</w:t>
      </w:r>
    </w:p>
    <w:p>
      <w:r>
        <w:t>We met with James Jones to take stock now that the offers are out, and Richard Mccoy opened by walking the whole funnel from the top, so that the four of us were reading from the same count before anyone turned to a particular company. The search narrowed from 67 targets screened to 31 targets contacted, then to 17 NDAs executed, and it now stands at 10 offers submitted, each of them made to the owner by telephone first and confirmed in writing the same day.</w:t>
      </w:r>
    </w:p>
    <w:p>
      <w:r>
        <w:t>Richard then took the owners' responses one at a time, describing each company by its sector and size, as our papers always do. Most owners have acknowledged the offer and asked for time with their own accountants and counsel, a few have come back with questions about how long they would be asked to stay on after a sale, and the accredited calibration laboratories, as at every earlier stage, have been the quickest to engage with the detail.</w:t>
      </w:r>
    </w:p>
    <w:p>
      <w:r>
        <w:t>James Jones asked whether Morse PLC ought to send offers to the signed companies that did not receive one, so that the field stays wide while owners deliberate. Melissa Jacobson reminded us why each of those companies had been set aside once its information came in, most often because too much of its revenue rested on a single customer, and he withdrew the suggestion himself, observing that a late offer would tell its owner exactly where the company had stood in the queue.</w:t>
      </w:r>
    </w:p>
    <w:p>
      <w:r>
        <w:t>Melissa then raised the questions owners have put to us since the offers went out, which are nearly all about staff, the company's name with its customers, and the founder's own role after a sale, and she proposed a short written note answering them that we could send to every owner alike. Richard Mccoy argued against it, on the ground that a founder who receives a note plainly written for several people will conclude that he is one of a list, and we let the idea go in favor of Richard answering each owner by telephone, with Melissa keeping the log of what was said.</w:t>
      </w:r>
    </w:p>
    <w:p>
      <w:r>
        <w:t>Before James Jones had to ask, I set out for him what follows once an owner accepts in principle: a period of exclusivity, confirmatory diligence by the buyer's accountants and counsel, and the drafting of a purchase agreement, none of which our engagement letter was written to cover. We agreed that this further work, if he wants us for it, belongs in a separate letter, as the engagement letter anticipated.</w:t>
      </w:r>
    </w:p>
    <w:p>
      <w:pPr>
        <w:pStyle w:val="Heading2"/>
      </w:pPr>
      <w:r>
        <w:t>Still open, and who carries it</w:t>
      </w:r>
    </w:p>
    <w:p>
      <w:r>
        <w:t>The largest open question is which company to take forward if more than one owner accepts in principle at the same time. Richard Mccoy favors the calibration laboratory with the deepest base of recurring contract work, and he ended his case, as he usually does, with the strongest objection to it, which is that its owner has been the slowest to answer us at every stage; James Jones is less sure, and he will carry the question to his board with a written comparison from Richard of the leading companies.</w:t>
      </w:r>
    </w:p>
    <w:p>
      <w:r>
        <w:t>Melissa Jacobson carries the owners who asked earlier in the search to be called again later in the year, and we agreed to leave them be until the present offers have run their course, with her log kept current so that none of them is lost. The separate letter for work beyond the offers is mine to draft, and I will have it with James Jones in time for his board to read it alongside the first answers from owners. The next step is Richard's comparison, which he will send to James Jones before the board meets.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Buy-Side Search for Morse PLC</dc:title>
  <dc:subject/>
  <dc:creator>Heather Delacruz</dc:creator>
  <cp:keywords/>
  <dc:description>generated by python-docx</dc:description>
  <cp:lastModifiedBy>Heather Delacruz</cp:lastModifiedBy>
  <cp:revision>1</cp:revision>
  <dcterms:created xsi:type="dcterms:W3CDTF">2015-08-31T09:00:00Z</dcterms:created>
  <dcterms:modified xsi:type="dcterms:W3CDTF">2015-08-31T09:00:00Z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