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Quillon Harbor Advisors</w:t>
      </w:r>
    </w:p>
    <w:p>
      <w:pPr>
        <w:pStyle w:val="Heading2"/>
      </w:pPr>
      <w:r>
        <w:t>How we came to this work</w:t>
      </w:r>
    </w:p>
    <w:p>
      <w:r>
        <w:t>Quillon Harbor began with an observation about the companies we knew best: industrial and business-services firms, built over decades by the people who still owned them, that tended to come to market with less advice than their size and their history deserved. The larger banks were not organized to give a business of that scale their full attention, and the smaller brokers were not equipped to run the kind of process that gets an owner a fair price on fair terms.</w:t>
      </w:r>
    </w:p>
    <w:p>
      <w:r>
        <w:t>We set out to run sell-side processes for those owners the way a larger firm would run them, with a properly researched buyer list, marketing materials written to survive a buyer's diligence, and a disciplined sequence from first contact to signed agreement. What we meant to keep, and have kept, is the senior attention an owner is entitled to when the business on the table is, in most respects, the work of a lifetime.</w:t>
      </w:r>
    </w:p>
    <w:p>
      <w:r>
        <w:t>The buy-side work followed from the sell-side work. Private-equity sponsors who had met us across the table in a sale began to ask whether we would search a sector on their behalf, screening a long universe of candidates down to the few worth approaching, and we found that the habits that serve a seller serve a buyer just as well. From time to time a board also asks us for a fairness opinion, and we accept that work only where we can give an independent read with no stake in the outcome.</w:t>
      </w:r>
    </w:p>
    <w:p>
      <w:pPr>
        <w:pStyle w:val="Heading2"/>
      </w:pPr>
      <w:r>
        <w:t>What that history asks of us now</w:t>
      </w:r>
    </w:p>
    <w:p>
      <w:r>
        <w:t>Because we learned the business by advising owners, we explain each stage of a process before it begins, and we are careful never to promise in a letter what the process itself cannot deliver. Heather Delacruz, our Managing Partner, reads every engagement letter and every fairness opinion before it leaves the office, and she holds all of us to the habit of telling a client plainly what happens next.</w:t>
      </w:r>
    </w:p>
    <w:p>
      <w:r>
        <w:t>Our deal teams are small on purpose, and the same few names stay with a mandate from the first meeting to the closing. Underneath each team sits analytical work we would be content to put in front of any board: David Rios, an Analyst in our advisory practice, builds the target screens and comparable-transaction tables our teams lean on, and every figure in them carries its source and its denominator.</w:t>
      </w:r>
    </w:p>
    <w:p>
      <w:r>
        <w:t>On a buy-side search the same care takes the form of a record. A sponsor working with us can see why each candidate in the universe was kept or set aside, how many survived each screen and on what criteria, and which conversations moved a company forward or took it off the list.</w:t>
      </w:r>
    </w:p>
    <w:p>
      <w:r>
        <w:t>Continuity of that kind does not happen by accident. Cynthia White, our Chief of Staff, keeps the operating rhythm of the firm, from the pipeline meeting to the staffing grid that records who is on which mandate, so that an owner never discovers halfway through a sale that the people advising them have changed.</w:t>
      </w:r>
    </w:p>
    <w:p>
      <w:r>
        <w:t>Confidentiality, for us, is less a policy than a way of writing. In anything that circulates, a target is described by its sector and its revenue band and is named only in documents that are already privileged, a discipline our clients notice early and, we think, come to value.</w:t>
      </w:r>
    </w:p>
    <w:p>
      <w:pPr>
        <w:pStyle w:val="Heading2"/>
      </w:pPr>
      <w:r>
        <w:t>An example from this year's work</w:t>
      </w:r>
    </w:p>
    <w:p>
      <w:r>
        <w:t>Of the mandates we are able to describe in a document of this kind, our sell-side engagement for Armstrong, Silva and Dyer gives a fair picture of how we work: a small and settled team, a process set out for the client stage by stage before it began, and analytical material built to be read as closely by a buyer's diligence team as by our own.</w:t>
      </w:r>
    </w:p>
    <w:p>
      <w:r>
        <w:t>We offer it as one illustration among the engagements we are carrying this year, not as a catalogue of the practice, and its particulars remain, as every client's do, between the firm and the people who engaged us. Much of the work we do in any year cannot be named in a document like this one at all, which is as it should be.</w:t>
      </w:r>
    </w:p>
    <w:p>
      <w:r>
        <w:t>An owner weighing a sale, or a sponsor with a sector in mind, should begin with a conversation with Heather Delacruz, who will set out in that first meeting how a process with us would run and what we would need to see before we could advise on it.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Heather Delacruz</dc:creator>
  <cp:keywords/>
  <dc:description>generated by python-docx</dc:description>
  <cp:lastModifiedBy>Heather Delacruz</cp:lastModifiedBy>
  <cp:revision>1</cp:revision>
  <dcterms:created xsi:type="dcterms:W3CDTF">2014-08-10T09:00:00Z</dcterms:created>
  <dcterms:modified xsi:type="dcterms:W3CDTF">2014-08-10T09:00:00Z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