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Quillon Harbor Advisors LLC</w:t>
      </w:r>
    </w:p>
    <w:p>
      <w:r>
        <w:t>Quillon Harbor Advisors is a mergers and acquisitions advisory for the lower middle market, and the greater part of our work is helping the founder of an industrial or business-services company sell the business on terms that reflect what it took to build it. Alongside that sell-side practice we run acquisition searches for private-equity sponsors assembling a platform in a sector we know, and now and then we give a board an independent opinion on the fairness of a transaction it has been asked to approve. Whichever of these brings a client to us, the people who meet that client at the outset are the people who do the work, and a partner stays with the mandate until it is finished.</w:t>
      </w:r>
    </w:p>
    <w:p>
      <w:pPr>
        <w:pStyle w:val="Heading2"/>
      </w:pPr>
      <w:r>
        <w:t>What we do, and the companies we do it for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the work involves</w:t>
            </w:r>
          </w:p>
        </w:tc>
        <w:tc>
          <w:tcPr>
            <w:tcW w:type="dxa" w:w="2880"/>
          </w:tcPr>
          <w:p>
            <w:r>
              <w:rPr>
                <w:b/>
              </w:rPr>
              <w:t>Sectors and clients served</w:t>
            </w:r>
          </w:p>
        </w:tc>
      </w:tr>
      <w:tr>
        <w:tc>
          <w:tcPr>
            <w:tcW w:type="dxa" w:w="2880"/>
          </w:tcPr>
          <w:p>
            <w:r>
              <w:t>Sell-side advisory</w:t>
            </w:r>
          </w:p>
        </w:tc>
        <w:tc>
          <w:tcPr>
            <w:tcW w:type="dxa" w:w="2880"/>
          </w:tcPr>
          <w:p>
            <w:r>
              <w:t>Preparing the business and its owner for a sale, writing the materials a buyer will read, building and contacting a researched list of acquirers, managing confidentiality agreements and diligence, and negotiating through to a signed purchase agreement</w:t>
            </w:r>
          </w:p>
        </w:tc>
        <w:tc>
          <w:tcPr>
            <w:tcW w:type="dxa" w:w="2880"/>
          </w:tcPr>
          <w:p>
            <w:r>
              <w:t>Founder-owned companies in industrial manufacturing and distribution, and in business services</w:t>
            </w:r>
          </w:p>
        </w:tc>
      </w:tr>
      <w:tr>
        <w:tc>
          <w:tcPr>
            <w:tcW w:type="dxa" w:w="2880"/>
          </w:tcPr>
          <w:p>
            <w:r>
              <w:t>Buy-side search programs</w:t>
            </w:r>
          </w:p>
        </w:tc>
        <w:tc>
          <w:tcPr>
            <w:tcW w:type="dxa" w:w="2880"/>
          </w:tcPr>
          <w:p>
            <w:r>
              <w:t>Agreeing a candidate universe with the sponsor, screening it against the sponsor's criteria, approaching the companies that survive the screen, executing NDAs with those willing to talk, and carrying the most promising conversations through to offers</w:t>
            </w:r>
          </w:p>
        </w:tc>
        <w:tc>
          <w:tcPr>
            <w:tcW w:type="dxa" w:w="2880"/>
          </w:tcPr>
          <w:p>
            <w:r>
              <w:t>Private-equity sponsors building a platform by acquisition in an industrial or business-services sector</w:t>
            </w:r>
          </w:p>
        </w:tc>
      </w:tr>
      <w:tr>
        <w:tc>
          <w:tcPr>
            <w:tcW w:type="dxa" w:w="2880"/>
          </w:tcPr>
          <w:p>
            <w:r>
              <w:t>Fairness opinions</w:t>
            </w:r>
          </w:p>
        </w:tc>
        <w:tc>
          <w:tcPr>
            <w:tcW w:type="dxa" w:w="2880"/>
          </w:tcPr>
          <w:p>
            <w:r>
              <w:t>An independent assessment, for the directors, of whether the consideration in a proposed transaction is fair from a financial point of view, supported by the valuation work behind it</w:t>
            </w:r>
          </w:p>
        </w:tc>
        <w:tc>
          <w:tcPr>
            <w:tcW w:type="dxa" w:w="2880"/>
          </w:tcPr>
          <w:p>
            <w:r>
              <w:t>Boards and board committees of companies in the same sectors, where the directors want a view from an adviser with no stake in the outcome</w:t>
            </w:r>
          </w:p>
        </w:tc>
      </w:tr>
    </w:tbl>
    <w:p>
      <w:r>
        <w:t>The three lines have more in common than a table can show. The discipline that narrows a sponsor's universe to a handful of real candidates is the same one that produces a buyer list a seller can trust, and the valuation work underneath every sale process is what allows us to give a board an opinion we are prepared to stand behind.</w:t>
      </w:r>
    </w:p>
    <w:p>
      <w:r>
        <w:t>We keep our deal teams small on purpose, so that an owner hears the same three or four names from the first meeting onward, and so that the analyst building a buyer list or a target screen sits close enough to the partner to be asked why a company is on it. Every count that appears in a document we send, whether of buyers contacted, agreements executed or offers received, is one we can reconcile to the record underneath it. When a figure changes, as figures do in the middle of a process, it changes everywhere at once, and the client hears about it from us before reading it anywhere else.</w:t>
      </w:r>
    </w:p>
    <w:p>
      <w:pPr>
        <w:pStyle w:val="Heading2"/>
      </w:pPr>
      <w:r>
        <w:t>Clients we have advised</w:t>
      </w:r>
    </w:p>
    <w:p>
      <w:r>
        <w:t>What follows is a sample of our client work and not an account of all of it, offered because a firm is most fairly judged by the companies that have trusted it with a decision of this weight. In recent years we have acted for Armstrong, Silva and Dyer, for Morse PLC, and for Lawson, Keller and Owens, and in each of those engagements a small and settled team carried the work, with a partner reading every document before it went out. We are grateful to each of them, and we keep the details of what we did for them, as we keep every client's, inside the firm.</w:t>
      </w:r>
    </w:p>
    <w:p>
      <w:r>
        <w:t>Amanda Thomas, our Compliance Manager, is responsible for that discipline across the firm: she runs our conflict checks and confidentiality logs, reviews the wording of anything that touches a regulated question, and confirms, before a document circulates, that a company we are marketing is described in it only by its sector and its revenue band. Her reminders to the deal teams tend to arrive with a short explanation of why each rule exists, and the teams are better for it.</w:t>
      </w:r>
    </w:p>
    <w:p>
      <w:r>
        <w:t>Every engagement letter and fairness opinion that leaves the firm has been read first by Heather Delacruz, our Managing Partner, and she also takes the first meeting with any owner, sponsor or board considering work with us. That meeting is the place to begin, and she will use it to explain how a process with us would unfold, stage by stage, before anything is signed.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Heather Delacruz</dc:creator>
  <cp:keywords/>
  <dc:description>generated by python-docx</dc:description>
  <cp:lastModifiedBy>Heather Delacruz</cp:lastModifiedBy>
  <cp:revision>1</cp:revision>
  <dcterms:created xsi:type="dcterms:W3CDTF">2017-08-09T09:00:00Z</dcterms:created>
  <dcterms:modified xsi:type="dcterms:W3CDTF">2017-08-09T09:00:00Z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