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About Quillon Harbor Advisors</w:t>
      </w:r>
    </w:p>
    <w:p>
      <w:r>
        <w:t>Most of the companies we advise have belonged to one founder or one family for most of their history, and the decision to sell such a company, or to build a platform by buying several like it, is one its owner or sponsor usually makes only once. Quillon Harbor Advisors is a lower-middle-market mergers and acquisitions advisory that exists to give those decisions the advice they deserve, working with the owners of industrial and business-services companies, with the private-equity sponsors consolidating those sectors, and with the boards that need an independent read on a transaction. We keep our teams small and our partners close to the work, and we write everything we produce with the expectation that a board will read it and that a lawyer may later quote it.</w:t>
      </w:r>
    </w:p>
    <w:p>
      <w:pPr>
        <w:pStyle w:val="Heading2"/>
      </w:pPr>
      <w:r>
        <w:t>How the practice is organized</w:t>
      </w:r>
    </w:p>
    <w:p>
      <w:pPr>
        <w:pStyle w:val="ListBullet"/>
      </w:pPr>
      <w:r>
        <w:t>Sell-side advisory. We prepare a founder-owned business and its owner for a sale, build and contact a researched list of buyers, run a confidential marketing process, and negotiate on the owner's behalf through signing and closing. The owner hears from a partner at every stage, and the analysis beneath each conversation is built to survive a buyer's diligence.</w:t>
      </w:r>
    </w:p>
    <w:p>
      <w:pPr>
        <w:pStyle w:val="ListBullet"/>
      </w:pPr>
      <w:r>
        <w:t>Buy-side search programs. For a private-equity platform consolidating a sector, we define a universe of candidate companies, screen it against the sponsor's criteria, approach the companies that survive the screen, execute NDAs with those willing to talk, and carry the strongest conversations to an offer.</w:t>
      </w:r>
    </w:p>
    <w:p>
      <w:pPr>
        <w:pStyle w:val="ListBullet"/>
      </w:pPr>
      <w:r>
        <w:t>Fairness opinions. For a board or a committee of its directors, we give an independent view of whether the consideration in a proposed transaction is fair from a financial point of view, supported by our own valuation work and set out in a letter the directors can rely on. We accept that work only where we have no stake in the outcome.</w:t>
      </w:r>
    </w:p>
    <w:p>
      <w:r>
        <w:t>Whichever line a client engages, the work leaves a record behind it. A sponsor can see how many candidates entered the screen and how many survived each stage, and a seller can see every buyer approached, every NDA signed and every indication received, with each count reconciled from one document to the next.</w:t>
      </w:r>
    </w:p>
    <w:p>
      <w:r>
        <w:t>For an owner, a sale is rarely only a financial event, and we explain each stage of a process before it begins, from the first conversations with buyers to the confirmatory diligence that follows a letter of intent, so that nothing in the sequence arrives as a surprise. We also say plainly when a stage is likely to take longer than anyone would like. This year a good many of those explanations have been given by video instead of across a table, and the sequence itself has not changed.</w:t>
      </w:r>
    </w:p>
    <w:p>
      <w:r>
        <w:t>Confidentiality is part of how we write. In anything that circulates, a company we are marketing is described by its sector and its revenue band, and its name appears only in documents that are already privileged, a habit our clients tend to notice in the first week of an engagement.</w:t>
      </w:r>
    </w:p>
    <w:p>
      <w:pPr>
        <w:pStyle w:val="Heading2"/>
      </w:pPr>
      <w:r>
        <w:t>Some of the clients we have served</w:t>
      </w:r>
    </w:p>
    <w:p>
      <w:r>
        <w:t>We are glad to be able to name some of the clients we have advised, and we offer them as examples of the practice, not as a list of everyone it has served. Our engagements for Armstrong, Silva and Dyer, for Morse PLC and for Lawson, Keller and Owens belong to the firm's earlier years, and our more recent work has included engagements for Blankenship Inc and for Browning, Duffy and Santos. In each of them the same small team carried the engagement from the first meeting onward, every number we put in front of the client could be traced to its source, and the particulars of the work remain the client's own.</w:t>
      </w:r>
    </w:p>
    <w:p>
      <w:r>
        <w:t>Inquiries about any of this work come to Heather Delacruz, our Managing Partner, who reads every engagement letter and fairness opinion before it leaves the firm. The next step for an owner, a sponsor or a board weighing a transaction is a first conversation with her about the business and about what its owners hope the transaction will accomplish, after which she will set out in writing how we would propose to run the work and who from the firm would run it.</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F3A5F"/>
        <w:sz w:val="28"/>
      </w:rPr>
      <w:t>Quillon Harbor Advisors LLC</w:t>
    </w:r>
  </w:p>
  <w:p>
    <w:r>
      <w:rPr>
        <w:sz w:val="18"/>
      </w:rPr>
      <w:t>www.quillonharbor.com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Quillon Harbor Advisors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Firm Overview</dc:title>
  <dc:subject/>
  <dc:creator>Heather Delacruz</dc:creator>
  <cp:keywords/>
  <dc:description>generated by python-docx</dc:description>
  <cp:lastModifiedBy>Heather Delacruz</cp:lastModifiedBy>
  <cp:revision>1</cp:revision>
  <dcterms:created xsi:type="dcterms:W3CDTF">2020-08-08T09:00:00Z</dcterms:created>
  <dcterms:modified xsi:type="dcterms:W3CDTF">2020-08-08T09:00:00Z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