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Quillon Harbor Advisors</w:t>
      </w:r>
    </w:p>
    <w:p>
      <w:r>
        <w:t>Quillon Harbor Advisors is a mergers and acquisitions advisory firm working in the lower middle market, and most of what we do comes down to helping an owner, a sponsor, or a board make one consequential decision with a clear view of the alternatives in front of them. We run sell-side processes for founder-owned industrial and business-services companies, conduct buy-side search programs for private-equity platforms building a position in a sector, and, when a board needs an independent read on a proposed transaction, prepare a fairness opinion. Our deal teams are small on purpose, so the people an owner meets in the first conversation are the people who write the materials, take the buyers' calls, and stay with the process through to signing.</w:t>
      </w:r>
    </w:p>
    <w:p>
      <w:pPr>
        <w:pStyle w:val="Heading2"/>
      </w:pPr>
      <w:r>
        <w:t>Our work, by capability and sector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the work involves</w:t>
            </w:r>
          </w:p>
        </w:tc>
        <w:tc>
          <w:tcPr>
            <w:tcW w:type="dxa" w:w="2880"/>
          </w:tcPr>
          <w:p>
            <w:r>
              <w:rPr>
                <w:b/>
              </w:rPr>
              <w:t>Sectors and clients we serve</w:t>
            </w:r>
          </w:p>
        </w:tc>
      </w:tr>
      <w:tr>
        <w:tc>
          <w:tcPr>
            <w:tcW w:type="dxa" w:w="2880"/>
          </w:tcPr>
          <w:p>
            <w:r>
              <w:t>Sell-side advisory</w:t>
            </w:r>
          </w:p>
        </w:tc>
        <w:tc>
          <w:tcPr>
            <w:tcW w:type="dxa" w:w="2880"/>
          </w:tcPr>
          <w:p>
            <w:r>
              <w:t>Preparing the company and its financial information for market, drafting the confidential information memorandum, building a list of strategic and financial buyers, and managing the process from first outreach through indications of interest, letters of intent, diligence, and signing.</w:t>
            </w:r>
          </w:p>
        </w:tc>
        <w:tc>
          <w:tcPr>
            <w:tcW w:type="dxa" w:w="2880"/>
          </w:tcPr>
          <w:p>
            <w:r>
              <w:t>Founder-owned industrial companies, including manufacturers, fabricators, and distributors, and business-services companies, most often where the founder is selling the business for the first time.</w:t>
            </w:r>
          </w:p>
        </w:tc>
      </w:tr>
      <w:tr>
        <w:tc>
          <w:tcPr>
            <w:tcW w:type="dxa" w:w="2880"/>
          </w:tcPr>
          <w:p>
            <w:r>
              <w:t>Buy-side search programs</w:t>
            </w:r>
          </w:p>
        </w:tc>
        <w:tc>
          <w:tcPr>
            <w:tcW w:type="dxa" w:w="2880"/>
          </w:tcPr>
          <w:p>
            <w:r>
              <w:t>Defining a universe of candidate targets with the sponsor, screening it against the platform's criteria, approaching the companies that pass, executing NDAs with those willing to talk, and carrying the strongest candidates to an offer, with the state of the funnel set out plainly at every stage.</w:t>
            </w:r>
          </w:p>
        </w:tc>
        <w:tc>
          <w:tcPr>
            <w:tcW w:type="dxa" w:w="2880"/>
          </w:tcPr>
          <w:p>
            <w:r>
              <w:t>Private-equity platforms consolidating a fragmented sector, most often in the same industrial and business-services markets where we run sell-side work.</w:t>
            </w:r>
          </w:p>
        </w:tc>
      </w:tr>
      <w:tr>
        <w:tc>
          <w:tcPr>
            <w:tcW w:type="dxa" w:w="2880"/>
          </w:tcPr>
          <w:p>
            <w:r>
              <w:t>Fairness opinions</w:t>
            </w:r>
          </w:p>
        </w:tc>
        <w:tc>
          <w:tcPr>
            <w:tcW w:type="dxa" w:w="2880"/>
          </w:tcPr>
          <w:p>
            <w:r>
              <w:t>An independent opinion to the board on whether the consideration in a proposed transaction is fair, from a financial point of view, supported by the valuation analyses and a complete record of the inputs and assumptions behind them.</w:t>
            </w:r>
          </w:p>
        </w:tc>
        <w:tc>
          <w:tcPr>
            <w:tcW w:type="dxa" w:w="2880"/>
          </w:tcPr>
          <w:p>
            <w:r>
              <w:t>Boards of directors and special committees, typically of privately held companies, on transactions where our independence is not in question.</w:t>
            </w:r>
          </w:p>
        </w:tc>
      </w:tr>
    </w:tbl>
    <w:p>
      <w:r>
        <w:t>Whichever side of a transaction we are on, we report progress in numbers, because a process is a funnel and the client should be able to watch it narrow. A seller hears each week how many parties have been contacted, how many have signed a non-disclosure agreement, and how many remain in the process, and a sponsor running a search with us sees the same arithmetic from the other direction, from the size of the universe through the screen to the companies that have agreed to talk. We do not describe a stage as reached until it has been, and when a number moves the wrong way we say so in the same report that would have carried the better news.</w:t>
      </w:r>
    </w:p>
    <w:p>
      <w:pPr>
        <w:pStyle w:val="Heading2"/>
      </w:pPr>
      <w:r>
        <w:t>Clients we have advised</w:t>
      </w:r>
    </w:p>
    <w:p>
      <w:r>
        <w:t>The clients we have worked for include Armstrong, Silva and Dyer, Morse PLC, Lawson, Keller and Owens, and Blankenship Inc, along with Browning, Duffy and Santos, Hamilton PLC, Beck, Martin and Dawson, and Ingram, Bowers and Roth. We name them as a sample of the range of our work and not as a full account of it, and most of our relationships begin the same way, with a question from an owner, a sponsor, or a board about what a process would involve and what it would ask of them. Where a client has asked that its name stay out of material of this kind, it does, and its absence here should not be read as a gap in the work.</w:t>
      </w:r>
    </w:p>
    <w:p>
      <w:r>
        <w:t>We treat confidentiality as a working habit and not only as a clause in an agreement. In anything that circulates beyond a deal team, a target is described by its sector and revenue band and is named only where the document is already privileged, and every engagement letter and fairness opinion is read by Heather Delacruz, our Managing Partner, before it leaves the firm, with particular attention to any sentence that promises more than the process can deliver.</w:t>
      </w:r>
    </w:p>
    <w:p>
      <w:r>
        <w:t>An owner, sponsor, or board weighing a transaction can begin with a conversation with Heather Delacruz, who will set out how a process would run, what it would ask of the company and its management, and what we would need to see before recommending that one begin. If both sides then want to go further, the next step is a short written proposal from us setting out the scope of the work, the team that would do it, and the terms of an engagement letter.</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 Overview</dc:title>
  <dc:subject/>
  <dc:creator>Heather Delacruz</dc:creator>
  <cp:keywords/>
  <dc:description>generated by python-docx</dc:description>
  <cp:lastModifiedBy>Heather Delacruz</cp:lastModifiedBy>
  <cp:revision>1</cp:revision>
  <dcterms:created xsi:type="dcterms:W3CDTF">2023-08-08T09:00:00Z</dcterms:created>
  <dcterms:modified xsi:type="dcterms:W3CDTF">2023-08-08T09:00:00Z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