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Amanda Thomas joins Quillon Harbor as our Compliance Manager, working within Operations, and she reports to Cynthia White, Chief of Staff. The conflict checks, the confidentiality logs and the careful wording of anything that touches a regulated question are now her particular charge, which means that before long nearly every mandate in the firm will pass across her desk at least once, and we are glad that it will.</w:t>
      </w:r>
    </w:p>
    <w:p>
      <w:pPr>
        <w:pStyle w:val="ListBullet"/>
      </w:pPr>
      <w:r>
        <w:t>Building access and office keys, arranged through Operations on her first morning.</w:t>
      </w:r>
    </w:p>
    <w:p>
      <w:pPr>
        <w:pStyle w:val="ListBullet"/>
      </w:pPr>
      <w:r>
        <w:t>Laptop, firm email and remote access, with permissions to the compliance folders on the shared drive.</w:t>
      </w:r>
    </w:p>
    <w:p>
      <w:pPr>
        <w:pStyle w:val="ListBullet"/>
      </w:pPr>
      <w:r>
        <w:t>A read-through of the conflicts log with Cynthia White, mandate by mandate, including the checks still open.</w:t>
      </w:r>
    </w:p>
    <w:p>
      <w:pPr>
        <w:pStyle w:val="ListBullet"/>
      </w:pPr>
      <w:r>
        <w:t>An introduction to the confidentiality log and the rule behind it: targets are described by sector and revenue band in anything that circulates, and named only where the document is already privileged.</w:t>
      </w:r>
    </w:p>
    <w:p>
      <w:pPr>
        <w:pStyle w:val="ListBullet"/>
      </w:pPr>
      <w:r>
        <w:t>A review of who currently holds access to each open data room, and of how access is granted and withdrawn.</w:t>
      </w:r>
    </w:p>
    <w:p>
      <w:pPr>
        <w:pStyle w:val="ListBullet"/>
      </w:pPr>
      <w:r>
        <w:t>Copies of the firm's standard engagement letter and NDA forms, with the clauses that need compliance sign-off marked.</w:t>
      </w:r>
    </w:p>
    <w:p>
      <w:pPr>
        <w:pStyle w:val="ListBullet"/>
      </w:pPr>
      <w:r>
        <w:t>Separate conversations with each of the partners about how their current mandates are staffed and papered.</w:t>
      </w:r>
    </w:p>
    <w:p>
      <w:r>
        <w:t>For day-to-day questions, and for anything touching staffing or the firm's calendar, Amanda should go first to Cynthia White, who keeps the staffing grid that shows who is on which mandate and is usually the quickest route to an answer. A question about a particular engagement, its parties or its paper is best taken to the partner leading that mandate. Anything that bears on what the firm says in a letter or an opinion, or on what it is prepared to promise, can come to me, Heather Delacruz, directly.</w:t>
      </w:r>
    </w:p>
    <w:p>
      <w:r>
        <w:t>Her first task, once the week's introductions are done, is a short written note to Cynthia setting out any gaps she finds in the conflicts log, which we will use to decide what to put right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Amanda Thomas</dc:title>
  <dc:subject/>
  <dc:creator>Heather Delacruz</dc:creator>
  <cp:keywords/>
  <dc:description>generated by python-docx</dc:description>
  <cp:lastModifiedBy>Heather Delacruz</cp:lastModifiedBy>
  <cp:revision>1</cp:revision>
  <dcterms:created xsi:type="dcterms:W3CDTF">2017-02-19T09:00:00Z</dcterms:created>
  <dcterms:modified xsi:type="dcterms:W3CDTF">2017-02-19T09:00:00Z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