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With Kimberly Harris, who joins the advisory practice as an Analyst, the research behind our first meetings with founders gains someone with a real ear for what an owner says and what he or she means by it. She reports to Mark Allen, Partner, and her early work will be the company profiles and ownership backgrounds that a partner reads before sitting down with a founder for the first time. What follows records the arrangements for her first week and the people she should look to for help.</w:t>
      </w:r>
    </w:p>
    <w:p>
      <w:pPr>
        <w:pStyle w:val="ListBullet"/>
      </w:pPr>
      <w:r>
        <w:t>Laptop, phone and accounts, ready at her desk on her first morning, with the operations team on hand for anything that does not work</w:t>
      </w:r>
    </w:p>
    <w:p>
      <w:pPr>
        <w:pStyle w:val="ListBullet"/>
      </w:pPr>
      <w:r>
        <w:t>Building pass and a desk with the other analysts; once her first month is behind her, she and Mark Allen will agree which days she works from home</w:t>
      </w:r>
    </w:p>
    <w:p>
      <w:pPr>
        <w:pStyle w:val="ListBullet"/>
      </w:pPr>
      <w:r>
        <w:t>Compliance induction: the confidentiality undertaking, the conflicts and personal-trading declarations, and a short session on how a target is described in documents that circulate</w:t>
      </w:r>
    </w:p>
    <w:p>
      <w:pPr>
        <w:pStyle w:val="ListBullet"/>
      </w:pPr>
      <w:r>
        <w:t>Access to the research databases the firm subscribes to, with a note of which sources may be cited in material a client will read</w:t>
      </w:r>
    </w:p>
    <w:p>
      <w:pPr>
        <w:pStyle w:val="ListBullet"/>
      </w:pPr>
      <w:r>
        <w:t>A read-in on the buy-side program she will support first: the sponsor's criteria and the screening log so far, both kept in that mandate's privileged folder</w:t>
      </w:r>
    </w:p>
    <w:p>
      <w:pPr>
        <w:pStyle w:val="ListBullet"/>
      </w:pPr>
      <w:r>
        <w:t>A first conversation with Heather Delacruz about the firm and about how we write to the owners we advise</w:t>
      </w:r>
    </w:p>
    <w:p>
      <w:pPr>
        <w:pStyle w:val="ListBullet"/>
      </w:pPr>
      <w:r>
        <w:t>The Monday pipeline meeting, which she will attend from her second week</w:t>
      </w:r>
    </w:p>
    <w:p>
      <w:r>
        <w:t>Mark Allen is her first call on anything to do with a live mandate, from which companies belong in a batch of profiles to how much background a partner wants before meeting a founder, and when two of her sources disagree about who owns a company or how long they have owned it, he would like to see both before she chooses between them. Questions about what may be named, in which document and for whose eyes, go to compliance, while the operations team looks after equipment, systems and the practical business of the office. Heather Delacruz is glad to be asked about the register in which we write to owners, which a new analyst usually finds is the hardest thing here to learn from a template.</w:t>
      </w:r>
    </w:p>
    <w:p>
      <w:r>
        <w:t>Her first assignment is a set of ownership profiles for the candidates still in that program's screen, and Mark Allen will read the first two with her before she starts on the rest.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Quillon Harbor Advisors LLC</w:t>
    </w:r>
  </w:p>
  <w:p>
    <w:r>
      <w:rPr>
        <w:sz w:val="18"/>
      </w:rPr>
      <w:t>www.quillonharbor.com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Quillon Harbor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Kimberly Harris</dc:title>
  <dc:subject/>
  <dc:creator>Heather Delacruz</dc:creator>
  <cp:keywords/>
  <dc:description>generated by python-docx</dc:description>
  <cp:lastModifiedBy>Heather Delacruz</cp:lastModifiedBy>
  <cp:revision>1</cp:revision>
  <dcterms:created xsi:type="dcterms:W3CDTF">2021-11-18T09:00:00Z</dcterms:created>
  <dcterms:modified xsi:type="dcterms:W3CDTF">2021-11-18T09:00:00Z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