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We are very glad to welcome Nancy Burgess, who joins Quillon Harbor Advisors as an Analyst in Advisory and will spend most of her time on our fairness opinion work and the board-facing material that travels with it, where her habit of citing every input and footnoting every assumption is exactly what the work asks of us. Nancy reports to Mark Allen, Partner, who will set her assignments, read her drafts first, and be the person she brings any question about a source or a number to, however small it seems.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Responsibility</w:t>
            </w:r>
          </w:p>
        </w:tc>
        <w:tc>
          <w:tcPr>
            <w:tcW w:type="dxa" w:w="2880"/>
          </w:tcPr>
          <w:p>
            <w:r>
              <w:rPr>
                <w:b/>
              </w:rPr>
              <w:t>Shared with</w:t>
            </w:r>
          </w:p>
        </w:tc>
        <w:tc>
          <w:tcPr>
            <w:tcW w:type="dxa" w:w="2880"/>
          </w:tcPr>
          <w:p>
            <w:r>
              <w:rPr>
                <w:b/>
              </w:rPr>
              <w:t>How the work moves</w:t>
            </w:r>
          </w:p>
        </w:tc>
      </w:tr>
      <w:tr>
        <w:tc>
          <w:tcPr>
            <w:tcW w:type="dxa" w:w="2880"/>
          </w:tcPr>
          <w:p>
            <w:r>
              <w:t>Comparable-company and precedent-transaction analyses in support of fairness opinions, with every input cited to its source</w:t>
            </w:r>
          </w:p>
        </w:tc>
        <w:tc>
          <w:tcPr>
            <w:tcW w:type="dxa" w:w="2880"/>
          </w:tcPr>
          <w:p>
            <w:r>
              <w:t>Mark Allen and the deal team assigned to each opinion</w:t>
            </w:r>
          </w:p>
        </w:tc>
        <w:tc>
          <w:tcPr>
            <w:tcW w:type="dxa" w:w="2880"/>
          </w:tcPr>
          <w:p>
            <w:r>
              <w:t>Nancy builds the first version; Mark Allen reviews the sources and the choice of comparables before any of it is shown to a board</w:t>
            </w:r>
          </w:p>
        </w:tc>
      </w:tr>
      <w:tr>
        <w:tc>
          <w:tcPr>
            <w:tcW w:type="dxa" w:w="2880"/>
          </w:tcPr>
          <w:p>
            <w:r>
              <w:t>Drafts of board-facing material: the summary of the process, the analyses behind it, and the supporting exhibits</w:t>
            </w:r>
          </w:p>
        </w:tc>
        <w:tc>
          <w:tcPr>
            <w:tcW w:type="dxa" w:w="2880"/>
          </w:tcPr>
          <w:p>
            <w:r>
              <w:t>Mark Allen, with a final read by Heather Delacruz before any opinion or board book leaves the firm</w:t>
            </w:r>
          </w:p>
        </w:tc>
        <w:tc>
          <w:tcPr>
            <w:tcW w:type="dxa" w:w="2880"/>
          </w:tcPr>
          <w:p>
            <w:r>
              <w:t>Drafts go to Mark Allen first and come back marked up; the redline stays in the file alongside the version that went out</w:t>
            </w:r>
          </w:p>
        </w:tc>
      </w:tr>
      <w:tr>
        <w:tc>
          <w:tcPr>
            <w:tcW w:type="dxa" w:w="2880"/>
          </w:tcPr>
          <w:p>
            <w:r>
              <w:t>The assumptions log for each analysis, including a note wherever a figure has been rounded and on what basis</w:t>
            </w:r>
          </w:p>
        </w:tc>
        <w:tc>
          <w:tcPr>
            <w:tcW w:type="dxa" w:w="2880"/>
          </w:tcPr>
          <w:p>
            <w:r>
              <w:t>The analysts and associates working the same mandate</w:t>
            </w:r>
          </w:p>
        </w:tc>
        <w:tc>
          <w:tcPr>
            <w:tcW w:type="dxa" w:w="2880"/>
          </w:tcPr>
          <w:p>
            <w:r>
              <w:t>Kept current as the model changes, so that anyone who picks up the file can see why each number is what it is</w:t>
            </w:r>
          </w:p>
        </w:tc>
      </w:tr>
      <w:tr>
        <w:tc>
          <w:tcPr>
            <w:tcW w:type="dxa" w:w="2880"/>
          </w:tcPr>
          <w:p>
            <w:r>
              <w:t>Screening support on buy-side search programs when a program needs another analyst</w:t>
            </w:r>
          </w:p>
        </w:tc>
        <w:tc>
          <w:tcPr>
            <w:tcW w:type="dxa" w:w="2880"/>
          </w:tcPr>
          <w:p>
            <w:r>
              <w:t>The analyst group in Advisory, as Mark Allen assigns it</w:t>
            </w:r>
          </w:p>
        </w:tc>
        <w:tc>
          <w:tcPr>
            <w:tcW w:type="dxa" w:w="2880"/>
          </w:tcPr>
          <w:p>
            <w:r>
              <w:t>Taken on only when Mark Allen moves her onto it, so the opinion work keeps its place in her week</w:t>
            </w:r>
          </w:p>
        </w:tc>
      </w:tr>
      <w:tr>
        <w:tc>
          <w:tcPr>
            <w:tcW w:type="dxa" w:w="2880"/>
          </w:tcPr>
          <w:p>
            <w:r>
              <w:t>Describing targets by sector and revenue band in anything that circulates outside the deal team</w:t>
            </w:r>
          </w:p>
        </w:tc>
        <w:tc>
          <w:tcPr>
            <w:tcW w:type="dxa" w:w="2880"/>
          </w:tcPr>
          <w:p>
            <w:r>
              <w:t>Everyone at the firm</w:t>
            </w:r>
          </w:p>
        </w:tc>
        <w:tc>
          <w:tcPr>
            <w:tcW w:type="dxa" w:w="2880"/>
          </w:tcPr>
          <w:p>
            <w:r>
              <w:t>A target is named only in a document that is already privileged; when she is unsure which kind of document she is writing, she asks before it is sent</w:t>
            </w:r>
          </w:p>
        </w:tc>
      </w:tr>
    </w:tbl>
    <w:p>
      <w:r>
        <w:t>Nancy's first review will be with Mark Allen once she has carried her first assignment, whether an opinion or a set of board materials, from the first data request through to the board, since this work arrives on a board's timetable and a finished piece tells us more than a date on the calendar would. Mark Allen will go through her drafts alongside the comments they drew, ask her to walk him through one analysis from its sources to its conclusion, and ask what she would change about how the work was set up, which makes it as much a review of how we staffed the assignment as of how she handled it. Before any of that, the one step we ask of her is to bring Mark Allen the assumptions log from her first assignment by the end of her first week, so the two of them can agree early on how much footnoting is enough.</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F3A5F"/>
        <w:sz w:val="28"/>
      </w:rPr>
      <w:t>Quillon Harbor Advisors LLC</w:t>
    </w:r>
  </w:p>
  <w:p>
    <w:r>
      <w:rPr>
        <w:sz w:val="18"/>
      </w:rPr>
      <w:t>www.quillonharbor.com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Quillon Harbor Advisors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Onboarding: Nancy Burgess</dc:title>
  <dc:subject/>
  <dc:creator>Heather Delacruz</dc:creator>
  <cp:keywords/>
  <dc:description>generated by python-docx</dc:description>
  <cp:lastModifiedBy>Heather Delacruz</cp:lastModifiedBy>
  <cp:revision>1</cp:revision>
  <dcterms:created xsi:type="dcterms:W3CDTF">2022-08-18T09:00:00Z</dcterms:created>
  <dcterms:modified xsi:type="dcterms:W3CDTF">2022-08-18T09:00:00Z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